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四皇后问题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所谓4皇后问题就是求解如何在4×4的棋盘上无冲突的摆放4个皇后棋子。在国际象棋中，皇后的移动方式为横竖交叉的，因此在任意一个皇后所在位置的水平、竖直、以及45线上都不能出现皇后的棋子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13335</wp:posOffset>
            </wp:positionV>
            <wp:extent cx="914400" cy="838200"/>
            <wp:effectExtent l="0" t="0" r="0" b="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   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四皇后问题有解，而且有两种解，如下图所示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4"/>
        <w:tblW w:w="11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"/>
        <w:gridCol w:w="283"/>
        <w:gridCol w:w="283"/>
        <w:gridCol w:w="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4"/>
        <w:tblW w:w="11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"/>
        <w:gridCol w:w="283"/>
        <w:gridCol w:w="283"/>
        <w:gridCol w:w="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83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  <w:lang w:val="en-US" w:eastAsia="zh-CN"/>
        </w:rPr>
        <w:t>有解原因</w:t>
      </w:r>
      <w:r>
        <w:rPr>
          <w:sz w:val="24"/>
          <w:szCs w:val="24"/>
        </w:rPr>
        <w:t>：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1.皇后是每行放置一个，所以每行是不会发生冲突的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2.判断位置是否安全依赖于该位置的列、副对角线、主对角线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3.如果遍历所有列数都找不到合适位置，即说明上一个皇后需要重新放置</w:t>
      </w:r>
    </w:p>
    <w:p>
      <w:pPr>
        <w:keepNext w:val="0"/>
        <w:keepLines w:val="0"/>
        <w:pageBreakBefore w:val="0"/>
        <w:widowControl w:val="0"/>
        <w:tabs>
          <w:tab w:val="left" w:pos="55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4.当皇后数小于四时问题无解。当皇后数为四时，第一个皇后放在第一列第二行或者第三行，除去其所在的行列及斜线的格子，仍然有空格子，而且某些空格子可以放置不相互冲突的皇后，所以四皇后问题有解。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05CFB"/>
    <w:rsid w:val="1320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2019-10-15T03:27:00Z</dcterms:created>
  <dc:creator>匠鑫</dc:creator>
  <cp:lastModifiedBy>匠鑫</cp:lastModifiedBy>
  <dcterms:modified xsi:type="dcterms:W3CDTF">2019-10-15T03:42:42Z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