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31146" w14:textId="7B918971" w:rsidR="008567AA" w:rsidRPr="001557EC" w:rsidRDefault="008567AA" w:rsidP="00155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EF4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 Annex</w:t>
      </w:r>
    </w:p>
    <w:p w14:paraId="31E72A3D" w14:textId="3131E873" w:rsidR="008567AA" w:rsidRPr="00CD4EF4" w:rsidRDefault="008567AA" w:rsidP="008567AA">
      <w:pPr>
        <w:jc w:val="both"/>
        <w:rPr>
          <w:rFonts w:ascii="Times New Roman" w:hAnsi="Times New Roman" w:cs="Times New Roman"/>
          <w:sz w:val="24"/>
        </w:rPr>
      </w:pPr>
      <w:r w:rsidRPr="00CD4EF4">
        <w:rPr>
          <w:rFonts w:ascii="Times New Roman" w:hAnsi="Times New Roman" w:cs="Times New Roman"/>
          <w:sz w:val="24"/>
        </w:rPr>
        <w:t xml:space="preserve">Book chapter for </w:t>
      </w:r>
      <w:r w:rsidRPr="00CD4EF4">
        <w:rPr>
          <w:rFonts w:ascii="Times New Roman" w:hAnsi="Times New Roman" w:cs="Times New Roman"/>
          <w:i/>
          <w:sz w:val="24"/>
        </w:rPr>
        <w:t>Decent Work or Decent Income? ‘Corona crisis’ experiences</w:t>
      </w:r>
      <w:r w:rsidRPr="00CD4EF4">
        <w:rPr>
          <w:rFonts w:ascii="Times New Roman" w:hAnsi="Times New Roman" w:cs="Times New Roman"/>
          <w:sz w:val="24"/>
        </w:rPr>
        <w:t>, eds. Lygia Sabbag Fares – School of Administration and Management - STRONG ESAGS, Santo André, SP, Brazil, and Pedro Henrique Evangelista Duarte, Goiás Federal University.  Publisher Labor &amp; Globalization Series, Hampp Verlag.</w:t>
      </w:r>
      <w:r w:rsidR="001557EC">
        <w:rPr>
          <w:rFonts w:ascii="Times New Roman" w:hAnsi="Times New Roman" w:cs="Times New Roman"/>
          <w:sz w:val="24"/>
        </w:rPr>
        <w:t xml:space="preserve">  </w:t>
      </w:r>
    </w:p>
    <w:p w14:paraId="478D3F4F" w14:textId="673FF963" w:rsidR="008567AA" w:rsidRPr="00CD4EF4" w:rsidRDefault="008567AA" w:rsidP="008567AA">
      <w:pPr>
        <w:spacing w:after="0"/>
        <w:rPr>
          <w:rFonts w:ascii="Times New Roman" w:hAnsi="Times New Roman" w:cs="Times New Roman"/>
          <w:b/>
          <w:bCs/>
          <w:sz w:val="24"/>
          <w:lang w:val="en-US"/>
        </w:rPr>
      </w:pPr>
      <w:r w:rsidRPr="00CD4EF4">
        <w:rPr>
          <w:rFonts w:ascii="Times New Roman" w:hAnsi="Times New Roman" w:cs="Times New Roman"/>
          <w:sz w:val="24"/>
        </w:rPr>
        <w:t>Section of book:  Labor relations, informality and COVID-19 (</w:t>
      </w:r>
      <w:r w:rsidR="00F81C3C">
        <w:rPr>
          <w:rFonts w:ascii="Times New Roman" w:hAnsi="Times New Roman" w:cs="Times New Roman"/>
          <w:sz w:val="24"/>
        </w:rPr>
        <w:t xml:space="preserve">submitted in </w:t>
      </w:r>
      <w:r w:rsidRPr="00CD4EF4">
        <w:rPr>
          <w:rFonts w:ascii="Times New Roman" w:hAnsi="Times New Roman" w:cs="Times New Roman"/>
          <w:sz w:val="24"/>
        </w:rPr>
        <w:t>November 2020)</w:t>
      </w:r>
    </w:p>
    <w:p w14:paraId="1682C5B3" w14:textId="77777777" w:rsidR="008567AA" w:rsidRPr="00CD4EF4" w:rsidRDefault="008567AA" w:rsidP="008567AA">
      <w:pPr>
        <w:spacing w:after="0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8B305EA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ACC">
        <w:rPr>
          <w:rFonts w:ascii="Times New Roman" w:hAnsi="Times New Roman" w:cs="Times New Roman"/>
          <w:b/>
          <w:sz w:val="28"/>
          <w:szCs w:val="28"/>
        </w:rPr>
        <w:t xml:space="preserve">Labour, Gender and Work in the Regions of India During the </w:t>
      </w:r>
      <w:r>
        <w:rPr>
          <w:rFonts w:ascii="Times New Roman" w:hAnsi="Times New Roman" w:cs="Times New Roman"/>
          <w:b/>
          <w:sz w:val="28"/>
          <w:szCs w:val="28"/>
        </w:rPr>
        <w:t>Covid</w:t>
      </w:r>
      <w:r w:rsidRPr="00E00ACC">
        <w:rPr>
          <w:rFonts w:ascii="Times New Roman" w:hAnsi="Times New Roman" w:cs="Times New Roman"/>
          <w:b/>
          <w:sz w:val="28"/>
          <w:szCs w:val="28"/>
        </w:rPr>
        <w:t>-19 Period</w:t>
      </w:r>
    </w:p>
    <w:p w14:paraId="76F6BBB2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B85C2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Wendy Olsen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3130">
        <w:rPr>
          <w:rFonts w:ascii="Times New Roman" w:hAnsi="Times New Roman" w:cs="Times New Roman"/>
          <w:sz w:val="24"/>
          <w:szCs w:val="24"/>
        </w:rPr>
        <w:t>Professor of Socio-Economics</w:t>
      </w:r>
      <w:r>
        <w:rPr>
          <w:rFonts w:ascii="Times New Roman" w:hAnsi="Times New Roman" w:cs="Times New Roman"/>
          <w:sz w:val="24"/>
          <w:szCs w:val="24"/>
        </w:rPr>
        <w:t>, University of Manchester</w:t>
      </w:r>
    </w:p>
    <w:p w14:paraId="6D976B78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Manasi Bera</w:t>
      </w:r>
      <w:r>
        <w:rPr>
          <w:rFonts w:ascii="Times New Roman" w:hAnsi="Times New Roman" w:cs="Times New Roman"/>
          <w:sz w:val="24"/>
          <w:szCs w:val="24"/>
        </w:rPr>
        <w:t xml:space="preserve">, Consultant, </w:t>
      </w:r>
      <w:r w:rsidRPr="00E00ACC">
        <w:rPr>
          <w:rFonts w:ascii="Times New Roman" w:hAnsi="Times New Roman" w:cs="Times New Roman"/>
          <w:sz w:val="24"/>
          <w:szCs w:val="24"/>
        </w:rPr>
        <w:t>Indian Institute of Dalit Studies, Delhi</w:t>
      </w:r>
    </w:p>
    <w:p w14:paraId="6502CE82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Clelia Cascella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4A44">
        <w:rPr>
          <w:rFonts w:ascii="Times New Roman" w:hAnsi="Times New Roman" w:cs="Times New Roman"/>
          <w:sz w:val="24"/>
          <w:szCs w:val="24"/>
        </w:rPr>
        <w:t>Lecturer in Social Statistics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0ACC">
        <w:rPr>
          <w:rFonts w:ascii="Times New Roman" w:hAnsi="Times New Roman" w:cs="Times New Roman"/>
          <w:sz w:val="24"/>
          <w:szCs w:val="24"/>
        </w:rPr>
        <w:t xml:space="preserve">University of Manchester </w:t>
      </w:r>
    </w:p>
    <w:p w14:paraId="37B92B11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Amaresh Dubey</w:t>
      </w:r>
      <w:r>
        <w:rPr>
          <w:rFonts w:ascii="Times New Roman" w:hAnsi="Times New Roman" w:cs="Times New Roman"/>
          <w:sz w:val="24"/>
          <w:szCs w:val="24"/>
        </w:rPr>
        <w:t xml:space="preserve">, Professor of Economics, </w:t>
      </w:r>
      <w:r w:rsidRPr="008A3130">
        <w:rPr>
          <w:rFonts w:ascii="Times New Roman" w:hAnsi="Times New Roman" w:cs="Times New Roman"/>
          <w:sz w:val="24"/>
          <w:szCs w:val="24"/>
        </w:rPr>
        <w:t xml:space="preserve">Centre for the Study of Regional Development, Jawaharlal Nehru University, Delhi and Indian Institute of Dalit Studies, Delhi </w:t>
      </w:r>
    </w:p>
    <w:p w14:paraId="55B5FCD9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Jihye 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4A44">
        <w:rPr>
          <w:rFonts w:ascii="Times New Roman" w:hAnsi="Times New Roman" w:cs="Times New Roman"/>
          <w:sz w:val="24"/>
          <w:szCs w:val="24"/>
        </w:rPr>
        <w:t>Lecturer in Social Statistics</w:t>
      </w:r>
      <w:r>
        <w:rPr>
          <w:rFonts w:ascii="Times New Roman" w:hAnsi="Times New Roman" w:cs="Times New Roman"/>
          <w:sz w:val="24"/>
          <w:szCs w:val="24"/>
        </w:rPr>
        <w:t>, University of Manchester</w:t>
      </w:r>
    </w:p>
    <w:p w14:paraId="41B1EA39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Zoe Williams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4A44">
        <w:rPr>
          <w:rFonts w:ascii="Times New Roman" w:hAnsi="Times New Roman" w:cs="Times New Roman"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>, University of Manchester</w:t>
      </w:r>
    </w:p>
    <w:p w14:paraId="61735AEE" w14:textId="77777777" w:rsidR="00F81C3C" w:rsidRDefault="00F81C3C" w:rsidP="00F81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CC">
        <w:rPr>
          <w:rFonts w:ascii="Times New Roman" w:hAnsi="Times New Roman" w:cs="Times New Roman"/>
          <w:i/>
          <w:sz w:val="24"/>
          <w:szCs w:val="24"/>
        </w:rPr>
        <w:t>Purva Yadav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0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Assistant Professor of Geography, </w:t>
      </w:r>
      <w:r w:rsidRPr="00E00ACC">
        <w:rPr>
          <w:rFonts w:ascii="Times New Roman" w:hAnsi="Times New Roman" w:cs="Times New Roman"/>
          <w:sz w:val="24"/>
          <w:szCs w:val="24"/>
        </w:rPr>
        <w:t xml:space="preserve">Centre for the Study of Regional Development, Jawaharlal Nehru University, Delhi </w:t>
      </w:r>
    </w:p>
    <w:p w14:paraId="00E58F5F" w14:textId="1C4F4912" w:rsidR="008567AA" w:rsidRPr="00CD4EF4" w:rsidRDefault="008567AA" w:rsidP="008567AA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CCD279" w14:textId="23B33623" w:rsidR="008567AA" w:rsidRPr="00CD4EF4" w:rsidRDefault="008567AA" w:rsidP="008567AA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30AFD0" w14:textId="0FFEFB09" w:rsidR="008567AA" w:rsidRPr="001557EC" w:rsidRDefault="001557EC" w:rsidP="001557EC">
      <w:pPr>
        <w:jc w:val="both"/>
        <w:rPr>
          <w:rFonts w:ascii="Tahoma" w:hAnsi="Tahoma" w:cs="Times New Roman"/>
          <w:b/>
          <w:sz w:val="16"/>
          <w:szCs w:val="24"/>
          <w:lang w:val="it-IT"/>
        </w:rPr>
      </w:pPr>
      <w:r w:rsidRPr="001557EC">
        <w:rPr>
          <w:rFonts w:ascii="Tahoma" w:hAnsi="Tahoma" w:cs="Times New Roman"/>
          <w:bCs/>
          <w:sz w:val="16"/>
          <w:szCs w:val="24"/>
          <w:lang w:val="en-US"/>
        </w:rPr>
        <w:t xml:space="preserve">How to cite the paper:  Wendy Olsen, Manasi Bera, Amaresh Dubey, Jihye Kim, Zoe Williams, and Purva Yadav (2021), </w:t>
      </w:r>
      <w:r w:rsidRPr="001557EC">
        <w:rPr>
          <w:rFonts w:ascii="Tahoma" w:hAnsi="Tahoma" w:cs="Times New Roman"/>
          <w:b/>
          <w:sz w:val="16"/>
          <w:szCs w:val="24"/>
        </w:rPr>
        <w:t xml:space="preserve">Labour, Gender and Work in the Regions of India During the COVID-19 Period, chapter in </w:t>
      </w:r>
      <w:r w:rsidRPr="001557EC">
        <w:rPr>
          <w:rFonts w:ascii="Tahoma" w:hAnsi="Tahoma" w:cs="Times New Roman"/>
          <w:i/>
          <w:sz w:val="16"/>
        </w:rPr>
        <w:t>Decent Work or Decent Income? ‘Corona crisis’ experiences</w:t>
      </w:r>
      <w:r w:rsidRPr="001557EC">
        <w:rPr>
          <w:rFonts w:ascii="Tahoma" w:hAnsi="Tahoma" w:cs="Times New Roman"/>
          <w:sz w:val="16"/>
        </w:rPr>
        <w:t xml:space="preserve">, eds. Lygia Sabbag Fares and Pedro Henrique Evangelista Duarte.  Labor &amp; Globalization Series, Hampp Verlag. </w:t>
      </w:r>
    </w:p>
    <w:p w14:paraId="1C17D6FE" w14:textId="449573FA" w:rsidR="001557EC" w:rsidRPr="001557EC" w:rsidRDefault="001557EC" w:rsidP="001557EC">
      <w:pPr>
        <w:jc w:val="both"/>
        <w:rPr>
          <w:rFonts w:ascii="Tahoma" w:hAnsi="Tahoma" w:cs="Times New Roman"/>
          <w:b/>
          <w:sz w:val="16"/>
          <w:szCs w:val="24"/>
          <w:lang w:val="it-IT"/>
        </w:rPr>
      </w:pPr>
      <w:r w:rsidRPr="001557EC">
        <w:rPr>
          <w:rFonts w:ascii="Tahoma" w:hAnsi="Tahoma" w:cs="Times New Roman"/>
          <w:sz w:val="16"/>
          <w:szCs w:val="28"/>
          <w:lang w:val="en-US"/>
        </w:rPr>
        <w:t>To cite this annex:</w:t>
      </w:r>
      <w:r w:rsidRPr="001557EC">
        <w:rPr>
          <w:rFonts w:ascii="Tahoma" w:hAnsi="Tahoma" w:cs="Times New Roman"/>
          <w:bCs/>
          <w:sz w:val="16"/>
          <w:szCs w:val="24"/>
          <w:lang w:val="en-US"/>
        </w:rPr>
        <w:t xml:space="preserve"> Wendy Olsen, Manasi Bera, Amaresh Dubey, Jihye Kim, Zoe Williams, and Purva Yadav (2021), </w:t>
      </w:r>
      <w:r w:rsidRPr="001557EC">
        <w:rPr>
          <w:rFonts w:ascii="Tahoma" w:hAnsi="Tahoma" w:cs="Times New Roman"/>
          <w:b/>
          <w:sz w:val="16"/>
          <w:szCs w:val="24"/>
        </w:rPr>
        <w:t xml:space="preserve">Labour, Gender and Work in the Regions of India During the COVID-19 Period online annex to a chapter in </w:t>
      </w:r>
      <w:r w:rsidRPr="001557EC">
        <w:rPr>
          <w:rFonts w:ascii="Tahoma" w:hAnsi="Tahoma" w:cs="Times New Roman"/>
          <w:i/>
          <w:sz w:val="16"/>
        </w:rPr>
        <w:t>Decent Work or Decent Income? ‘Corona crisis’ experiences</w:t>
      </w:r>
      <w:r w:rsidRPr="001557EC">
        <w:rPr>
          <w:rFonts w:ascii="Tahoma" w:hAnsi="Tahoma" w:cs="Times New Roman"/>
          <w:sz w:val="16"/>
        </w:rPr>
        <w:t xml:space="preserve">, eds. Lygia Sabbag Fares and Pedro Henrique Evangelista Duarte.  Labor &amp; Globalization Series, Hampp Verlag. URL </w:t>
      </w:r>
      <w:hyperlink r:id="rId8" w:history="1">
        <w:r w:rsidRPr="001557EC">
          <w:rPr>
            <w:rStyle w:val="Hyperlink"/>
            <w:rFonts w:ascii="Tahoma" w:hAnsi="Tahoma" w:cs="Times New Roman"/>
            <w:sz w:val="16"/>
          </w:rPr>
          <w:t>https://github.com/WendyOlsen/COVIDworkimpactIndia2020</w:t>
        </w:r>
      </w:hyperlink>
      <w:r w:rsidRPr="001557EC">
        <w:rPr>
          <w:rFonts w:ascii="Tahoma" w:hAnsi="Tahoma" w:cs="Times New Roman"/>
          <w:sz w:val="16"/>
        </w:rPr>
        <w:t>, accessed</w:t>
      </w:r>
      <w:r w:rsidR="00F81C3C">
        <w:rPr>
          <w:rFonts w:ascii="Tahoma" w:hAnsi="Tahoma" w:cs="Times New Roman"/>
          <w:sz w:val="16"/>
        </w:rPr>
        <w:t xml:space="preserve"> *** Date ****</w:t>
      </w:r>
      <w:r w:rsidRPr="001557EC">
        <w:rPr>
          <w:rFonts w:ascii="Tahoma" w:hAnsi="Tahoma" w:cs="Times New Roman"/>
          <w:sz w:val="16"/>
        </w:rPr>
        <w:t>.</w:t>
      </w:r>
    </w:p>
    <w:p w14:paraId="327C3467" w14:textId="77777777" w:rsidR="00A13E60" w:rsidRPr="00CD4EF4" w:rsidRDefault="00A13E60" w:rsidP="00A13E60">
      <w:pPr>
        <w:pStyle w:val="Caption"/>
        <w:keepNext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>Table A1. Informal-sector Work Participation by Sex and Household Migration Status (Rural and Urban Contrasted)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131"/>
        <w:gridCol w:w="1347"/>
        <w:gridCol w:w="1179"/>
        <w:gridCol w:w="2284"/>
        <w:gridCol w:w="1161"/>
        <w:gridCol w:w="2124"/>
      </w:tblGrid>
      <w:tr w:rsidR="00A13E60" w:rsidRPr="00460654" w14:paraId="20136A0A" w14:textId="77777777" w:rsidTr="001557EC">
        <w:trPr>
          <w:trHeight w:val="12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308D" w14:textId="3BFB7212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Sex 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88F5" w14:textId="7378D6D3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Rural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Urban</w:t>
            </w: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02E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Family members’ migration</w:t>
            </w:r>
          </w:p>
        </w:tc>
        <w:tc>
          <w:tcPr>
            <w:tcW w:w="1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76D0" w14:textId="56EEB545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</w:t>
            </w: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abour </w:t>
            </w:r>
          </w:p>
          <w:p w14:paraId="0BF6D3D2" w14:textId="6E8F2302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orce participation among respondents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D2FE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4331A7D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size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FA71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Standard error of the estimate of mean</w:t>
            </w:r>
          </w:p>
        </w:tc>
      </w:tr>
      <w:tr w:rsidR="00A13E60" w:rsidRPr="00460654" w14:paraId="526BDFB5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C2D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CD2E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Rural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1DD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FA4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0.784 (78%)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315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32691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03CE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3E60" w:rsidRPr="00460654" w14:paraId="278DE74C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15EC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B92E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Rural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744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CF1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0.818 (82%)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098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1238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C41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A13E60" w:rsidRPr="00460654" w14:paraId="525C95B2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1DE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7AF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E395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B14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0.398 (40%)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FA8E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20723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01A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3E60" w:rsidRPr="00460654" w14:paraId="017707E2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BDAF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C24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3617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019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0.474 (47%)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298F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234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45E5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A13E60" w:rsidRPr="00460654" w14:paraId="73C12709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2A97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B34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Rural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A618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CCA0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0.528 (53%)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CACD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35160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E88D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3E60" w:rsidRPr="00460654" w14:paraId="6B95FC7A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7ED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5155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Rural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DF14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DAC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0.594 (59%)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0BCF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3043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DB0A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A13E60" w:rsidRPr="00460654" w14:paraId="25DA0B14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B919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D9C2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40C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B1C4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0.106 (11%)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8B2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21039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9CE0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3E60" w:rsidRPr="00460654" w14:paraId="2C92A074" w14:textId="77777777" w:rsidTr="001557EC">
        <w:trPr>
          <w:trHeight w:val="230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BF9B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Female</w:t>
            </w:r>
          </w:p>
        </w:tc>
        <w:tc>
          <w:tcPr>
            <w:tcW w:w="73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5FC5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</w:t>
            </w:r>
          </w:p>
        </w:tc>
        <w:tc>
          <w:tcPr>
            <w:tcW w:w="63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E6D4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19D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0.169 (17%)</w:t>
            </w:r>
          </w:p>
        </w:tc>
        <w:tc>
          <w:tcPr>
            <w:tcW w:w="62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8013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431</w:t>
            </w:r>
          </w:p>
        </w:tc>
        <w:tc>
          <w:tcPr>
            <w:tcW w:w="11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6399" w14:textId="77777777" w:rsidR="00A13E60" w:rsidRPr="00460654" w:rsidRDefault="00A13E60" w:rsidP="0007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06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</w:t>
            </w:r>
          </w:p>
        </w:tc>
      </w:tr>
    </w:tbl>
    <w:p w14:paraId="10223AA4" w14:textId="77777777" w:rsidR="00A13E60" w:rsidRPr="00CD4EF4" w:rsidRDefault="00A13E60" w:rsidP="00A13E60">
      <w:pPr>
        <w:spacing w:before="240"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CD4EF4">
        <w:rPr>
          <w:rFonts w:ascii="Times New Roman" w:hAnsi="Times New Roman" w:cs="Times New Roman"/>
          <w:i/>
          <w:iCs/>
          <w:color w:val="000000" w:themeColor="text1"/>
          <w:sz w:val="24"/>
          <w:szCs w:val="20"/>
          <w:lang w:val="en-US"/>
        </w:rPr>
        <w:t>Source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 IHDS -II, 2011/2</w:t>
      </w:r>
    </w:p>
    <w:p w14:paraId="0C305769" w14:textId="051D80A3" w:rsidR="00A13E60" w:rsidRPr="001557EC" w:rsidRDefault="00A13E60" w:rsidP="00A13E6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sectPr w:rsidR="00A13E60" w:rsidRPr="001557EC" w:rsidSect="001557EC">
          <w:footerReference w:type="even" r:id="rId9"/>
          <w:footerReference w:type="default" r:id="rId10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1557EC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Notes:</w:t>
      </w:r>
      <w:r w:rsidRPr="001557E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This table deliberately cover ages 18–60, only, to maximise comparability with the NFHS results; the key datum is the weighted percentage of informal labour force participation (ILFP) of the respondents in the informal sector (0=no involvement, 1=any involvement; hence the mean is a number between 0 and 1, and its standard error is shown to be very small); the ILFP % is shown too. </w:t>
      </w:r>
    </w:p>
    <w:p w14:paraId="609E2ED1" w14:textId="16E82AD0" w:rsidR="00942808" w:rsidRPr="00CD4EF4" w:rsidRDefault="00942808" w:rsidP="001C00FC">
      <w:pPr>
        <w:pStyle w:val="Caption"/>
        <w:keepNext/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Table </w:t>
      </w:r>
      <w:r w:rsidRPr="00CD4EF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Table \* ALPHABETIC </w:instrText>
      </w:r>
      <w:r w:rsidRPr="00CD4EF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0A3E6B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Pr="00CD4EF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A13E60" w:rsidRPr="00CD4EF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="000F01D0"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>Percentage</w:t>
      </w: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of Migrants Workers </w:t>
      </w:r>
      <w:r w:rsidR="000F01D0"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>in</w:t>
      </w: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Rural and Urban Areas</w:t>
      </w:r>
      <w:r w:rsidR="000F01D0"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in 2011</w:t>
      </w:r>
      <w:r w:rsidRPr="00CD4EF4">
        <w:rPr>
          <w:rFonts w:ascii="Times New Roman" w:hAnsi="Times New Roman" w:cs="Times New Roman"/>
          <w:color w:val="auto"/>
          <w:sz w:val="28"/>
          <w:szCs w:val="28"/>
          <w:lang w:val="en-US"/>
        </w:rPr>
        <w:t>, by State</w:t>
      </w:r>
    </w:p>
    <w:tbl>
      <w:tblPr>
        <w:tblW w:w="5052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8"/>
        <w:gridCol w:w="1976"/>
        <w:gridCol w:w="1835"/>
        <w:gridCol w:w="2413"/>
        <w:gridCol w:w="1358"/>
      </w:tblGrid>
      <w:tr w:rsidR="001C00FC" w:rsidRPr="008F37E3" w14:paraId="34F25141" w14:textId="77777777" w:rsidTr="001C00FC">
        <w:trPr>
          <w:trHeight w:hRule="exact" w:val="344"/>
          <w:tblHeader/>
        </w:trPr>
        <w:tc>
          <w:tcPr>
            <w:tcW w:w="11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6F120" w14:textId="033B3D1B" w:rsidR="0017415A" w:rsidRPr="008F37E3" w:rsidRDefault="000F01D0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State</w:t>
            </w:r>
          </w:p>
        </w:tc>
        <w:tc>
          <w:tcPr>
            <w:tcW w:w="99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D335E" w14:textId="260BC73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% In-migrants (Urban</w:t>
            </w:r>
            <w:r w:rsidR="00E77765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2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4F59" w14:textId="5546F730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% In-migrants (Rural)</w:t>
            </w:r>
          </w:p>
        </w:tc>
        <w:tc>
          <w:tcPr>
            <w:tcW w:w="12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4FDF8" w14:textId="04D95B1A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Total </w:t>
            </w:r>
            <w:r w:rsidR="000F01D0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</w:t>
            </w: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o</w:t>
            </w:r>
            <w:r w:rsidR="000F01D0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.</w:t>
            </w: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of migrants</w:t>
            </w:r>
            <w:r w:rsidR="00E77765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(R</w:t>
            </w:r>
            <w:r w:rsidR="000F01D0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+ U</w:t>
            </w: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6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073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Pop. 2011</w:t>
            </w:r>
          </w:p>
        </w:tc>
      </w:tr>
      <w:tr w:rsidR="001C00FC" w:rsidRPr="008F37E3" w14:paraId="5F83F654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3F6E4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Jammu &amp; Kashmir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35F3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8D1B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33D2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122,587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E579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12,541,302</w:t>
            </w:r>
          </w:p>
        </w:tc>
      </w:tr>
      <w:tr w:rsidR="001C00FC" w:rsidRPr="008F37E3" w14:paraId="03BFF591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DDB9D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Himachal Pradesh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13D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F7F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2.9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CF4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296,268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54C6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6,864,602</w:t>
            </w:r>
          </w:p>
        </w:tc>
      </w:tr>
      <w:tr w:rsidR="001C00FC" w:rsidRPr="008F37E3" w14:paraId="758A3DCD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C645C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Punjab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0F7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0D6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F81E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1,244,056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76D5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27,743,338</w:t>
            </w:r>
          </w:p>
        </w:tc>
      </w:tr>
      <w:tr w:rsidR="001C00FC" w:rsidRPr="008F37E3" w14:paraId="4830DCF0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1DF34" w14:textId="41B2BB50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Chandigarh</w:t>
            </w:r>
            <w:r w:rsidR="000F01D0"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C9FF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19.4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0900D" w14:textId="7E5BA183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3491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206,642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7053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1,055,450</w:t>
            </w:r>
          </w:p>
        </w:tc>
      </w:tr>
      <w:tr w:rsidR="001C00FC" w:rsidRPr="008F37E3" w14:paraId="4BBD2242" w14:textId="77777777" w:rsidTr="001C00FC">
        <w:trPr>
          <w:trHeight w:hRule="exact" w:val="242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8AC9F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Uttarakhand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31A8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E049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3C4C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617,094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062D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10,086,292</w:t>
            </w:r>
          </w:p>
        </w:tc>
      </w:tr>
      <w:tr w:rsidR="001C00FC" w:rsidRPr="008F37E3" w14:paraId="32ABA6C4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0862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Haryana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6593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A577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B70E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1,333,644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895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25,351,462</w:t>
            </w:r>
          </w:p>
        </w:tc>
      </w:tr>
      <w:tr w:rsidR="001C00FC" w:rsidRPr="008F37E3" w14:paraId="5D9D689B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98BD6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Nct Of Delhi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67A6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22CA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8438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2,029,489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3A71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16,787,941</w:t>
            </w:r>
          </w:p>
        </w:tc>
      </w:tr>
      <w:tr w:rsidR="001C00FC" w:rsidRPr="008F37E3" w14:paraId="056B069B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2E0F1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Rajasthan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C673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FEDD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051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1,709,602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FFF1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68,548,437</w:t>
            </w:r>
          </w:p>
        </w:tc>
      </w:tr>
      <w:tr w:rsidR="001C00FC" w:rsidRPr="008F37E3" w14:paraId="4259A481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92094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Uttar Pradesh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B76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03BD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49B3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3,156,125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4883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199,812,341</w:t>
            </w:r>
          </w:p>
        </w:tc>
      </w:tr>
      <w:tr w:rsidR="001C00FC" w:rsidRPr="008F37E3" w14:paraId="2C5D1FBC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8C780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Bihar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3CC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AC93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5B61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706,557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874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104,099,452</w:t>
            </w:r>
          </w:p>
        </w:tc>
      </w:tr>
      <w:tr w:rsidR="001C00FC" w:rsidRPr="008F37E3" w14:paraId="7AAB07B2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73595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Sikkim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F572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15.3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DAE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03C5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46,554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8860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610,577</w:t>
            </w:r>
          </w:p>
        </w:tc>
      </w:tr>
      <w:tr w:rsidR="001C00FC" w:rsidRPr="008F37E3" w14:paraId="62552AE4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31E3F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Arunachal Pradesh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BFDA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18.1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DB97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077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119,244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D4F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1,383,727</w:t>
            </w:r>
          </w:p>
        </w:tc>
      </w:tr>
      <w:tr w:rsidR="001C00FC" w:rsidRPr="008F37E3" w14:paraId="72050724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6B01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Nagaland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5011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11.9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6E52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3072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110,779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3D2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1,978,502</w:t>
            </w:r>
          </w:p>
        </w:tc>
      </w:tr>
      <w:tr w:rsidR="001C00FC" w:rsidRPr="008F37E3" w14:paraId="2EEA116F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FD83A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Manipur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7157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563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96FB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22,750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F046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2,855,794</w:t>
            </w:r>
          </w:p>
        </w:tc>
      </w:tr>
      <w:tr w:rsidR="001C00FC" w:rsidRPr="008F37E3" w14:paraId="099CE0EE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B9382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Mizoram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6C74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D67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7CED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62,828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62E5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1,097,206</w:t>
            </w:r>
          </w:p>
        </w:tc>
      </w:tr>
      <w:tr w:rsidR="001C00FC" w:rsidRPr="008F37E3" w14:paraId="145B979B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C0B5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Tripura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6CD1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62C4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D08C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92,097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105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3,673,917</w:t>
            </w:r>
          </w:p>
        </w:tc>
      </w:tr>
      <w:tr w:rsidR="001C00FC" w:rsidRPr="008F37E3" w14:paraId="6A86C4C6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C44B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Meghalaya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E207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FC64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5635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52,797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9FA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2,966,889</w:t>
            </w:r>
          </w:p>
        </w:tc>
      </w:tr>
      <w:tr w:rsidR="001C00FC" w:rsidRPr="008F37E3" w14:paraId="7A59E484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7CA7A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Assam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F8F6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172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EA1A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572,064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D6D2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31,205,576</w:t>
            </w:r>
          </w:p>
        </w:tc>
      </w:tr>
      <w:tr w:rsidR="001C00FC" w:rsidRPr="008F37E3" w14:paraId="27B47172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09EED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West Bengal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D76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DFE3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F1FE2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1,656,952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7041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91,276,115</w:t>
            </w:r>
          </w:p>
        </w:tc>
      </w:tr>
      <w:tr w:rsidR="001C00FC" w:rsidRPr="008F37E3" w14:paraId="4C6B8ACB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0F7C2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Jharkhand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DA30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C77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524B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824,259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EC9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32,988,134</w:t>
            </w:r>
          </w:p>
        </w:tc>
      </w:tr>
      <w:tr w:rsidR="001C00FC" w:rsidRPr="008F37E3" w14:paraId="0AD48287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8717A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Odisha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261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393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CC4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851,363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D46D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41,974,218</w:t>
            </w:r>
          </w:p>
        </w:tc>
      </w:tr>
      <w:tr w:rsidR="001C00FC" w:rsidRPr="008F37E3" w14:paraId="13E37BEA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01A49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Chhattisgarh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D209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6F71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167A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1,021,077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30E2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25,545,198</w:t>
            </w:r>
          </w:p>
        </w:tc>
      </w:tr>
      <w:tr w:rsidR="001C00FC" w:rsidRPr="008F37E3" w14:paraId="3E22635E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56FE4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Madhya Pradesh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33E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7.7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EEA7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6534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2,415,635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193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72,626,809</w:t>
            </w:r>
          </w:p>
        </w:tc>
      </w:tr>
      <w:tr w:rsidR="001C00FC" w:rsidRPr="008F37E3" w14:paraId="25B07933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AE7D0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Gujarat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BE82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63F5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7D8C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3,041,779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3EF4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60,439,692</w:t>
            </w:r>
          </w:p>
        </w:tc>
      </w:tr>
      <w:tr w:rsidR="001C00FC" w:rsidRPr="008F37E3" w14:paraId="3DBEBBAF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68A6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Daman &amp; Diu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9A15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37.5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E616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AFF4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73,782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16C9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243,247</w:t>
            </w:r>
          </w:p>
        </w:tc>
      </w:tr>
      <w:tr w:rsidR="001C00FC" w:rsidRPr="008F37E3" w14:paraId="18EBFA33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0D94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Dadra &amp; Nagar Haveli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BAE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B55D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7C5E2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63,779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F473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343,709</w:t>
            </w:r>
          </w:p>
        </w:tc>
      </w:tr>
      <w:tr w:rsidR="001C00FC" w:rsidRPr="008F37E3" w14:paraId="738DDED0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A3B9D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Maharashtra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DBBA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78F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1754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7,901,819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CB44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112,374,333</w:t>
            </w:r>
          </w:p>
        </w:tc>
      </w:tr>
      <w:tr w:rsidR="001C00FC" w:rsidRPr="008F37E3" w14:paraId="5697D258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9C089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Andhra Pradesh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BFBB2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B0C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1CFAF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3,737,316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3D0B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84,580,777</w:t>
            </w:r>
          </w:p>
        </w:tc>
      </w:tr>
      <w:tr w:rsidR="001C00FC" w:rsidRPr="008F37E3" w14:paraId="3C4C7D9F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D63D8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Karnataka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C223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8B20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A20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2,887,216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20CA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61,095,297</w:t>
            </w:r>
          </w:p>
        </w:tc>
      </w:tr>
      <w:tr w:rsidR="001C00FC" w:rsidRPr="008F37E3" w14:paraId="43AF410E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0883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F7BE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3A5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5169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115,870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F6EE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1,458,545</w:t>
            </w:r>
          </w:p>
        </w:tc>
      </w:tr>
      <w:tr w:rsidR="001C00FC" w:rsidRPr="008F37E3" w14:paraId="6F6813C2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F9073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Lakshadweep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567D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E6C31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964A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6,135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70DC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64,473</w:t>
            </w:r>
          </w:p>
        </w:tc>
      </w:tr>
      <w:tr w:rsidR="001C00FC" w:rsidRPr="008F37E3" w14:paraId="5C94EFA6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AE77A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Kerala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EE4D9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E3526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99DE4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713,934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AF850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33,406,061</w:t>
            </w:r>
          </w:p>
        </w:tc>
      </w:tr>
      <w:tr w:rsidR="001C00FC" w:rsidRPr="008F37E3" w14:paraId="394C8E59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AA44C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Tamil Nadu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DCE2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A8023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2B3F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3,487,974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F61E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72,147,030</w:t>
            </w:r>
          </w:p>
        </w:tc>
      </w:tr>
      <w:tr w:rsidR="001C00FC" w:rsidRPr="008F37E3" w14:paraId="7B430FBB" w14:textId="77777777" w:rsidTr="001C00FC">
        <w:trPr>
          <w:trHeight w:hRule="exact" w:val="322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D096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Puducherry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E5A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6.7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203A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3.4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806A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70,721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BCE8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1,247,953</w:t>
            </w:r>
          </w:p>
        </w:tc>
      </w:tr>
      <w:tr w:rsidR="001C00FC" w:rsidRPr="008F37E3" w14:paraId="4460E2CF" w14:textId="77777777" w:rsidTr="001C00FC">
        <w:trPr>
          <w:trHeight w:hRule="exact" w:val="270"/>
        </w:trPr>
        <w:tc>
          <w:tcPr>
            <w:tcW w:w="118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F7803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Andaman &amp; Nicobar Islands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BE755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64BF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3E3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52,129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6AABD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380,581</w:t>
            </w:r>
          </w:p>
        </w:tc>
      </w:tr>
      <w:tr w:rsidR="001C00FC" w:rsidRPr="008F37E3" w14:paraId="02F01A9A" w14:textId="77777777" w:rsidTr="001C00FC">
        <w:trPr>
          <w:trHeight w:hRule="exact" w:val="270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A0A59" w14:textId="77777777" w:rsidR="0017415A" w:rsidRPr="008F37E3" w:rsidRDefault="0017415A" w:rsidP="001C0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BC86E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50477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947A2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41,422,917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DFC2C" w14:textId="77777777" w:rsidR="0017415A" w:rsidRPr="008F37E3" w:rsidRDefault="0017415A" w:rsidP="001C0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37E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1,210,854,977</w:t>
            </w:r>
          </w:p>
        </w:tc>
      </w:tr>
    </w:tbl>
    <w:p w14:paraId="503927AA" w14:textId="77777777" w:rsidR="0017415A" w:rsidRPr="00CD4EF4" w:rsidRDefault="0017415A" w:rsidP="0017415A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D4EF4">
        <w:rPr>
          <w:rFonts w:ascii="Times New Roman" w:hAnsi="Times New Roman" w:cs="Times New Roman"/>
          <w:i/>
          <w:color w:val="000000" w:themeColor="text1"/>
          <w:sz w:val="24"/>
          <w:szCs w:val="20"/>
        </w:rPr>
        <w:t>Source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>: Indian Census 2011</w:t>
      </w:r>
    </w:p>
    <w:p w14:paraId="4A7D6F1D" w14:textId="7A3B9B33" w:rsidR="0017415A" w:rsidRPr="00CD4EF4" w:rsidRDefault="0017415A" w:rsidP="000F01D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CD4EF4">
        <w:rPr>
          <w:rFonts w:ascii="Times New Roman" w:hAnsi="Times New Roman" w:cs="Times New Roman"/>
          <w:i/>
          <w:color w:val="000000" w:themeColor="text1"/>
          <w:sz w:val="24"/>
          <w:szCs w:val="20"/>
          <w:lang w:val="en-US"/>
        </w:rPr>
        <w:t>Note</w:t>
      </w:r>
      <w:r w:rsidR="00265163" w:rsidRPr="00CD4EF4">
        <w:rPr>
          <w:rFonts w:ascii="Times New Roman" w:hAnsi="Times New Roman" w:cs="Times New Roman"/>
          <w:i/>
          <w:color w:val="000000" w:themeColor="text1"/>
          <w:sz w:val="24"/>
          <w:szCs w:val="20"/>
          <w:lang w:val="en-US"/>
        </w:rPr>
        <w:t>s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 </w:t>
      </w:r>
      <w:r w:rsidR="000F01D0"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Migrants includes those r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esiding in th</w:t>
      </w:r>
      <w:r w:rsidR="000F01D0"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e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place</w:t>
      </w:r>
      <w:r w:rsidR="000F01D0"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of enumeration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for 0-9 years, and reporting work/employment as a reason for migrati</w:t>
      </w:r>
      <w:r w:rsidR="000F01D0"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on.</w:t>
      </w:r>
    </w:p>
    <w:p w14:paraId="5553513D" w14:textId="77777777" w:rsidR="000F01D0" w:rsidRPr="00CD4EF4" w:rsidRDefault="000F01D0" w:rsidP="000F01D0">
      <w:pPr>
        <w:spacing w:after="24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*small base for  rural </w:t>
      </w:r>
    </w:p>
    <w:p w14:paraId="258E3554" w14:textId="77777777" w:rsidR="00E77765" w:rsidRDefault="00E77765" w:rsidP="000F01D0">
      <w:pPr>
        <w:spacing w:after="24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F7F2F3" w14:textId="0B6C7F6D" w:rsidR="00942808" w:rsidRPr="00CD4EF4" w:rsidRDefault="00942808" w:rsidP="00942808">
      <w:pPr>
        <w:pStyle w:val="Caption"/>
        <w:keepNext/>
        <w:jc w:val="both"/>
        <w:rPr>
          <w:rFonts w:ascii="Times New Roman" w:hAnsi="Times New Roman" w:cs="Times New Roman"/>
          <w:color w:val="auto"/>
          <w:sz w:val="28"/>
          <w:szCs w:val="20"/>
          <w:lang w:val="en-US"/>
        </w:rPr>
      </w:pPr>
      <w:r w:rsidRPr="00CD4EF4">
        <w:rPr>
          <w:rFonts w:ascii="Times New Roman" w:hAnsi="Times New Roman" w:cs="Times New Roman"/>
          <w:color w:val="auto"/>
          <w:sz w:val="28"/>
          <w:szCs w:val="20"/>
          <w:lang w:val="en-US"/>
        </w:rPr>
        <w:t xml:space="preserve">Table </w:t>
      </w:r>
      <w:r w:rsidR="0020220F" w:rsidRPr="00CD4EF4">
        <w:rPr>
          <w:rFonts w:ascii="Times New Roman" w:hAnsi="Times New Roman" w:cs="Times New Roman"/>
          <w:color w:val="auto"/>
          <w:sz w:val="28"/>
          <w:szCs w:val="20"/>
        </w:rPr>
        <w:t>A</w:t>
      </w:r>
      <w:r w:rsidR="00A13E60" w:rsidRPr="00CD4EF4">
        <w:rPr>
          <w:rFonts w:ascii="Times New Roman" w:hAnsi="Times New Roman" w:cs="Times New Roman"/>
          <w:color w:val="auto"/>
          <w:sz w:val="28"/>
          <w:szCs w:val="20"/>
        </w:rPr>
        <w:t>3</w:t>
      </w:r>
      <w:r w:rsidRPr="00CD4EF4">
        <w:rPr>
          <w:rFonts w:ascii="Times New Roman" w:hAnsi="Times New Roman" w:cs="Times New Roman"/>
          <w:color w:val="auto"/>
          <w:sz w:val="28"/>
          <w:szCs w:val="20"/>
          <w:lang w:val="en-US"/>
        </w:rPr>
        <w:t>. Number of Labour Migrants by Destinations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1"/>
        <w:gridCol w:w="1123"/>
        <w:gridCol w:w="1123"/>
        <w:gridCol w:w="1123"/>
        <w:gridCol w:w="968"/>
        <w:gridCol w:w="1108"/>
        <w:gridCol w:w="1002"/>
        <w:gridCol w:w="1019"/>
        <w:gridCol w:w="931"/>
      </w:tblGrid>
      <w:tr w:rsidR="0026730D" w:rsidRPr="00942808" w14:paraId="63586710" w14:textId="77777777" w:rsidTr="0094280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3E00" w14:textId="463D072D" w:rsidR="0026730D" w:rsidRPr="00942808" w:rsidRDefault="002B0FA9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2204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6B3B" w14:textId="651321DD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Number of total in-migrants</w:t>
            </w:r>
          </w:p>
        </w:tc>
        <w:tc>
          <w:tcPr>
            <w:tcW w:w="2063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91F" w14:textId="5E03C1B8" w:rsidR="0026730D" w:rsidRPr="00942808" w:rsidRDefault="002B0FA9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In-migration rate*</w:t>
            </w:r>
          </w:p>
        </w:tc>
      </w:tr>
      <w:tr w:rsidR="0026730D" w:rsidRPr="00942808" w14:paraId="72ABF860" w14:textId="77777777" w:rsidTr="00942808">
        <w:trPr>
          <w:trHeight w:val="6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B19E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Short-term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EE5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4CD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urban_f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BB8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rural_m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0F5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rural_f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E3E9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0E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urban_f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87F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rural_m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7AB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rural_f</w:t>
            </w:r>
          </w:p>
        </w:tc>
      </w:tr>
      <w:tr w:rsidR="0026730D" w:rsidRPr="00942808" w14:paraId="27BAA48C" w14:textId="77777777" w:rsidTr="00942808">
        <w:trPr>
          <w:trHeight w:val="8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6DAA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Eastern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F71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109,487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E92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19,437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2EB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112,982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EF9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84,462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CE4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F1A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68A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C81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0.1%</w:t>
            </w:r>
          </w:p>
        </w:tc>
      </w:tr>
      <w:tr w:rsidR="0026730D" w:rsidRPr="00942808" w14:paraId="1A2EF44D" w14:textId="77777777" w:rsidTr="00942808"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D4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North Eastern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805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25,104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090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6,293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804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54,874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EDB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41,171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9CF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9A6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148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078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0.2%</w:t>
            </w:r>
          </w:p>
        </w:tc>
      </w:tr>
      <w:tr w:rsidR="0026730D" w:rsidRPr="00942808" w14:paraId="74209EF1" w14:textId="77777777" w:rsidTr="00942808">
        <w:trPr>
          <w:trHeight w:val="9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DAE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North Central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B5B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375,870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7AA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58,690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393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595,634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718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441,279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38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78E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FE7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0EC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0.3%</w:t>
            </w:r>
          </w:p>
        </w:tc>
      </w:tr>
      <w:tr w:rsidR="0026730D" w:rsidRPr="00942808" w14:paraId="60A0ADD3" w14:textId="77777777" w:rsidTr="00942808">
        <w:trPr>
          <w:trHeight w:val="105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86E7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Southern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0F6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368,113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BBA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94,850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28C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267,269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C0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195,369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5C11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C93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644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00E1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0.3%</w:t>
            </w:r>
          </w:p>
        </w:tc>
      </w:tr>
      <w:tr w:rsidR="0026730D" w:rsidRPr="00942808" w14:paraId="5F2C8FDA" w14:textId="77777777" w:rsidTr="00942808">
        <w:trPr>
          <w:trHeight w:val="15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BA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0ED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99,025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CFE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10,789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DEA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26,879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F2B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23,170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79E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728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9C49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692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0.5%</w:t>
            </w:r>
          </w:p>
        </w:tc>
      </w:tr>
      <w:tr w:rsidR="0026730D" w:rsidRPr="00942808" w14:paraId="225A37DD" w14:textId="77777777" w:rsidTr="00942808">
        <w:trPr>
          <w:trHeight w:val="12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9A5A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47B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468,503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E2D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67,216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8A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458,629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3C0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324,008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647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1.1%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D7D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378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0.9%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857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0.7%</w:t>
            </w:r>
          </w:p>
        </w:tc>
      </w:tr>
      <w:tr w:rsidR="0026730D" w:rsidRPr="00942808" w14:paraId="60D614BB" w14:textId="77777777" w:rsidTr="00942808">
        <w:trPr>
          <w:trHeight w:val="225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DC4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Long-term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A92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E3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urban_f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14E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rural_m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518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rural_f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5D7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B1B8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urban_f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BED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rural_m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975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rural_f</w:t>
            </w:r>
          </w:p>
        </w:tc>
      </w:tr>
      <w:tr w:rsidR="0026730D" w:rsidRPr="00942808" w14:paraId="27E4DE80" w14:textId="77777777" w:rsidTr="00942808">
        <w:trPr>
          <w:trHeight w:val="60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3203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Eastern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5C08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2,495,067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689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294,359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24FF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717,958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057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289,841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388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8.6%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03E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8E09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E1B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0.3%</w:t>
            </w:r>
          </w:p>
        </w:tc>
      </w:tr>
      <w:tr w:rsidR="0026730D" w:rsidRPr="00942808" w14:paraId="39F6C178" w14:textId="77777777" w:rsidTr="00942808">
        <w:trPr>
          <w:trHeight w:val="15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ABD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North Estern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358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483,564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03C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90,562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49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340,597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8D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78,119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FA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11.3%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9A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2.2%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091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31D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0.4%</w:t>
            </w:r>
          </w:p>
        </w:tc>
      </w:tr>
      <w:tr w:rsidR="0026730D" w:rsidRPr="00942808" w14:paraId="5F6AC8B1" w14:textId="77777777" w:rsidTr="00942808">
        <w:trPr>
          <w:trHeight w:val="105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E851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North Central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4F7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6,716,209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01C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772,354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646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2,392,471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18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882,273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16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11.5%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903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20E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1.4%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B587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0.6%</w:t>
            </w:r>
          </w:p>
        </w:tc>
      </w:tr>
      <w:tr w:rsidR="0026730D" w:rsidRPr="00942808" w14:paraId="015D5974" w14:textId="77777777" w:rsidTr="00942808"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278A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Southern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8890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6,278,580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D55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1,293,090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94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1,910,999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EFB3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613,539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7021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12.2%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947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2.5%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FB2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2.6%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605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0.8%</w:t>
            </w:r>
          </w:p>
        </w:tc>
      </w:tr>
      <w:tr w:rsidR="0026730D" w:rsidRPr="00942808" w14:paraId="5DBC8B86" w14:textId="77777777" w:rsidTr="00942808">
        <w:trPr>
          <w:trHeight w:val="75"/>
        </w:trPr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7B3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245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2,139,548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C831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156,626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9C9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103,047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62C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15,568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F5B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18.1%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02CB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E2E4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1.9%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00B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0.3%</w:t>
            </w:r>
          </w:p>
        </w:tc>
      </w:tr>
      <w:tr w:rsidR="0026730D" w:rsidRPr="00942808" w14:paraId="18AB3429" w14:textId="77777777" w:rsidTr="00942808">
        <w:tc>
          <w:tcPr>
            <w:tcW w:w="7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6BDF" w14:textId="77777777" w:rsidR="0026730D" w:rsidRPr="00942808" w:rsidRDefault="0026730D" w:rsidP="002B0F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Western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1BD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7,438,400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A1B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798,577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62BC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1,444,699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2A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457,226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4531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18.2%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46D6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2.2%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802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2.9%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1D85" w14:textId="77777777" w:rsidR="0026730D" w:rsidRPr="00942808" w:rsidRDefault="0026730D" w:rsidP="008407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428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1.0%</w:t>
            </w:r>
          </w:p>
        </w:tc>
      </w:tr>
    </w:tbl>
    <w:p w14:paraId="5C648EE4" w14:textId="77777777" w:rsidR="00397A0A" w:rsidRPr="00CD4EF4" w:rsidRDefault="0026730D" w:rsidP="00E77765">
      <w:pPr>
        <w:spacing w:before="240"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CD4EF4">
        <w:rPr>
          <w:rFonts w:ascii="Times New Roman" w:hAnsi="Times New Roman" w:cs="Times New Roman"/>
          <w:i/>
          <w:color w:val="000000" w:themeColor="text1"/>
          <w:sz w:val="24"/>
          <w:szCs w:val="20"/>
          <w:lang w:val="en-US"/>
        </w:rPr>
        <w:t>Source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 </w:t>
      </w:r>
      <w:r w:rsidR="00C75589"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Indian 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Census 2011 </w:t>
      </w:r>
    </w:p>
    <w:p w14:paraId="4FA7B998" w14:textId="7C4EE9F3" w:rsidR="0026730D" w:rsidRPr="00CD4EF4" w:rsidRDefault="0026730D" w:rsidP="00397A0A">
      <w:pPr>
        <w:spacing w:after="0"/>
        <w:rPr>
          <w:rFonts w:ascii="Times New Roman" w:eastAsia="Roboto" w:hAnsi="Times New Roman" w:cs="Times New Roman"/>
          <w:color w:val="000000" w:themeColor="text1"/>
          <w:sz w:val="24"/>
          <w:szCs w:val="20"/>
          <w:lang w:val="en-US"/>
        </w:rPr>
      </w:pP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Notes: this table includes migrations both within and outside states; work and employment as a reason, only; short-term=</w:t>
      </w:r>
      <w:r w:rsidRPr="00CD4EF4">
        <w:rPr>
          <w:rFonts w:ascii="Times New Roman" w:eastAsia="Roboto" w:hAnsi="Times New Roman" w:cs="Times New Roman"/>
          <w:color w:val="000000" w:themeColor="text1"/>
          <w:sz w:val="24"/>
          <w:szCs w:val="20"/>
          <w:highlight w:val="white"/>
          <w:lang w:val="en-US"/>
        </w:rPr>
        <w:t>residing in this destination for less than one year;</w:t>
      </w: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long-term=</w:t>
      </w:r>
      <w:r w:rsidRPr="00CD4EF4">
        <w:rPr>
          <w:rFonts w:ascii="Times New Roman" w:eastAsia="Roboto" w:hAnsi="Times New Roman" w:cs="Times New Roman"/>
          <w:color w:val="000000" w:themeColor="text1"/>
          <w:sz w:val="24"/>
          <w:szCs w:val="20"/>
          <w:highlight w:val="white"/>
          <w:lang w:val="en-US"/>
        </w:rPr>
        <w:t>residing in this destination for one year or more.</w:t>
      </w:r>
    </w:p>
    <w:p w14:paraId="04E29232" w14:textId="77777777" w:rsidR="003C578E" w:rsidRPr="00CD4EF4" w:rsidRDefault="003C578E" w:rsidP="003C578E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>Migrants are enumerated at their place of residence which is the destination residence here.</w:t>
      </w:r>
    </w:p>
    <w:p w14:paraId="3A3F8C50" w14:textId="77777777" w:rsidR="003C578E" w:rsidRPr="00CD4EF4" w:rsidRDefault="003C578E" w:rsidP="003C578E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CD4EF4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* In-migration rate is defined as the percentage share of in-migrant (group) in the population at the place of enumeration.</w:t>
      </w:r>
    </w:p>
    <w:p w14:paraId="76F9A70D" w14:textId="4BD15F3D" w:rsidR="00E77765" w:rsidRPr="00CD4EF4" w:rsidRDefault="00397A0A" w:rsidP="003C578E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D4EF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Regions:</w:t>
      </w:r>
      <w:r w:rsidRPr="00CD4EF4">
        <w:rPr>
          <w:rFonts w:ascii="Times New Roman" w:hAnsi="Times New Roman" w:cs="Times New Roman"/>
          <w:i/>
          <w:iCs/>
          <w:color w:val="000000" w:themeColor="text1"/>
          <w:sz w:val="24"/>
          <w:szCs w:val="20"/>
        </w:rPr>
        <w:t xml:space="preserve">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Union Territories (UT)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Jammu &amp; Kashmir, Chandigarh, Nct of Delhi, Dadra &amp; Nagar Haveli, Lakshadweep, Puducherry, Andaman &amp; Nicobar Islands;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North &amp; Central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Himachal Pradesh, Punjab, Uttarakhand, Haryana, Rajasthan, Uttar Pradesh, Chhattisgarh, Madhya Pradesh;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Eastern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Bihar, West Bengal, Jharkhand, Odisha;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North Eastern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Sikkim, Arunachal Pradesh, Nagaland, Manipur, Mizoram, Tripura, Meghalaya, Assam;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Western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Gujarat, Daman &amp; Diu, Maharashtra, Goa; </w:t>
      </w:r>
      <w:r w:rsidR="00E77765"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Southern</w:t>
      </w:r>
      <w:r w:rsidR="00E77765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>: Andhra Pradesh, Karnataka, Kerala, Tamil Nadu</w:t>
      </w:r>
      <w:r w:rsidR="002B0FA9" w:rsidRPr="00CD4EF4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14:paraId="7D2CA41B" w14:textId="06FD65FA" w:rsidR="0032381B" w:rsidRPr="00CD4EF4" w:rsidRDefault="0032381B" w:rsidP="0032381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r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 xml:space="preserve">urban_m </w:t>
      </w:r>
      <w:r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: urban male, </w:t>
      </w:r>
      <w:r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urban_f </w:t>
      </w:r>
      <w:r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: urban female, </w:t>
      </w:r>
      <w:r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rural_m </w:t>
      </w:r>
      <w:r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: rural male, </w:t>
      </w:r>
      <w:r w:rsidRPr="00CD4EF4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rural_f </w:t>
      </w:r>
      <w:r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: rural </w:t>
      </w:r>
      <w:r w:rsidR="00AD6D4B"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fe</w:t>
      </w:r>
      <w:r w:rsidRPr="00CD4EF4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male</w:t>
      </w:r>
    </w:p>
    <w:p w14:paraId="7087D30F" w14:textId="77777777" w:rsidR="0026730D" w:rsidRPr="00942808" w:rsidRDefault="0026730D" w:rsidP="00BC2E97">
      <w:pPr>
        <w:spacing w:before="240" w:after="240"/>
        <w:rPr>
          <w:rFonts w:ascii="Times New Roman" w:hAnsi="Times New Roman" w:cs="Times New Roman"/>
          <w:color w:val="000000" w:themeColor="text1"/>
          <w:lang w:val="en-US"/>
        </w:rPr>
      </w:pPr>
    </w:p>
    <w:p w14:paraId="582DDD0A" w14:textId="77777777" w:rsidR="00E23EAB" w:rsidRPr="00942808" w:rsidRDefault="00E23EAB" w:rsidP="00E23E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285BBF2" w14:textId="77777777" w:rsidR="00BC2E97" w:rsidRPr="00942808" w:rsidRDefault="00BC2E97" w:rsidP="00BC2E97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F8821A9" w14:textId="77777777" w:rsidR="00BC2E97" w:rsidRPr="00942808" w:rsidRDefault="00BC2E9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C2E97" w:rsidRPr="00942808" w:rsidSect="00001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293FA" w14:textId="77777777" w:rsidR="0058643B" w:rsidRDefault="0058643B" w:rsidP="008C3A34">
      <w:pPr>
        <w:spacing w:after="0" w:line="240" w:lineRule="auto"/>
      </w:pPr>
      <w:r>
        <w:separator/>
      </w:r>
    </w:p>
  </w:endnote>
  <w:endnote w:type="continuationSeparator" w:id="0">
    <w:p w14:paraId="11A11D51" w14:textId="77777777" w:rsidR="0058643B" w:rsidRDefault="0058643B" w:rsidP="008C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97C2D" w14:textId="77777777" w:rsidR="00CD4EF4" w:rsidRDefault="00CD4EF4" w:rsidP="00402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B7D7A" w14:textId="77777777" w:rsidR="00CD4EF4" w:rsidRDefault="00CD4EF4" w:rsidP="00CD4E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09371" w14:textId="77777777" w:rsidR="00CD4EF4" w:rsidRDefault="00CD4EF4" w:rsidP="00402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E6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A66BBE2" w14:textId="74F05320" w:rsidR="008C3A34" w:rsidRDefault="008C3A34" w:rsidP="00CD4EF4">
    <w:pPr>
      <w:pStyle w:val="Footer"/>
      <w:ind w:right="360"/>
      <w:jc w:val="center"/>
    </w:pPr>
  </w:p>
  <w:p w14:paraId="5A5A7011" w14:textId="77777777" w:rsidR="008C3A34" w:rsidRDefault="008C3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C4097" w14:textId="77777777" w:rsidR="0058643B" w:rsidRDefault="0058643B" w:rsidP="008C3A34">
      <w:pPr>
        <w:spacing w:after="0" w:line="240" w:lineRule="auto"/>
      </w:pPr>
      <w:r>
        <w:separator/>
      </w:r>
    </w:p>
  </w:footnote>
  <w:footnote w:type="continuationSeparator" w:id="0">
    <w:p w14:paraId="4AB68FE0" w14:textId="77777777" w:rsidR="0058643B" w:rsidRDefault="0058643B" w:rsidP="008C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3558F"/>
    <w:multiLevelType w:val="hybridMultilevel"/>
    <w:tmpl w:val="A588C78E"/>
    <w:lvl w:ilvl="0" w:tplc="6F3E00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626BA"/>
    <w:multiLevelType w:val="hybridMultilevel"/>
    <w:tmpl w:val="82C43C7E"/>
    <w:lvl w:ilvl="0" w:tplc="26781F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97"/>
    <w:rsid w:val="00001CD1"/>
    <w:rsid w:val="0006280C"/>
    <w:rsid w:val="00076976"/>
    <w:rsid w:val="000A3E6B"/>
    <w:rsid w:val="000F01D0"/>
    <w:rsid w:val="001557EC"/>
    <w:rsid w:val="0017415A"/>
    <w:rsid w:val="001C00FC"/>
    <w:rsid w:val="0020220F"/>
    <w:rsid w:val="00265163"/>
    <w:rsid w:val="0026730D"/>
    <w:rsid w:val="00292062"/>
    <w:rsid w:val="002B0FA9"/>
    <w:rsid w:val="002E6F61"/>
    <w:rsid w:val="0032381B"/>
    <w:rsid w:val="00365640"/>
    <w:rsid w:val="00397A0A"/>
    <w:rsid w:val="003C578E"/>
    <w:rsid w:val="00460654"/>
    <w:rsid w:val="004836C8"/>
    <w:rsid w:val="004D7571"/>
    <w:rsid w:val="00540611"/>
    <w:rsid w:val="00544E01"/>
    <w:rsid w:val="0058643B"/>
    <w:rsid w:val="005A4E05"/>
    <w:rsid w:val="005A5F14"/>
    <w:rsid w:val="005F2F0F"/>
    <w:rsid w:val="00697E2B"/>
    <w:rsid w:val="006B3820"/>
    <w:rsid w:val="007D1B24"/>
    <w:rsid w:val="00831675"/>
    <w:rsid w:val="008567AA"/>
    <w:rsid w:val="00866924"/>
    <w:rsid w:val="008C3A34"/>
    <w:rsid w:val="008F37E3"/>
    <w:rsid w:val="00942808"/>
    <w:rsid w:val="009666AE"/>
    <w:rsid w:val="00A13E60"/>
    <w:rsid w:val="00AD6D4B"/>
    <w:rsid w:val="00B41656"/>
    <w:rsid w:val="00BC2E97"/>
    <w:rsid w:val="00BD3DDA"/>
    <w:rsid w:val="00C75589"/>
    <w:rsid w:val="00CB7138"/>
    <w:rsid w:val="00CD4EF4"/>
    <w:rsid w:val="00D2560D"/>
    <w:rsid w:val="00D738E4"/>
    <w:rsid w:val="00E23EAB"/>
    <w:rsid w:val="00E77765"/>
    <w:rsid w:val="00F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F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EAB"/>
    <w:pPr>
      <w:spacing w:after="0" w:line="240" w:lineRule="auto"/>
      <w:ind w:firstLine="720"/>
      <w:jc w:val="both"/>
    </w:pPr>
    <w:rPr>
      <w:rFonts w:ascii="Times New Roman" w:eastAsia="Calibri" w:hAnsi="Times New Roman" w:cs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428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34"/>
  </w:style>
  <w:style w:type="paragraph" w:styleId="Footer">
    <w:name w:val="footer"/>
    <w:basedOn w:val="Normal"/>
    <w:link w:val="FooterChar"/>
    <w:uiPriority w:val="99"/>
    <w:unhideWhenUsed/>
    <w:rsid w:val="008C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34"/>
  </w:style>
  <w:style w:type="character" w:styleId="PageNumber">
    <w:name w:val="page number"/>
    <w:basedOn w:val="DefaultParagraphFont"/>
    <w:uiPriority w:val="99"/>
    <w:semiHidden/>
    <w:unhideWhenUsed/>
    <w:rsid w:val="00CD4EF4"/>
  </w:style>
  <w:style w:type="character" w:styleId="Hyperlink">
    <w:name w:val="Hyperlink"/>
    <w:basedOn w:val="DefaultParagraphFont"/>
    <w:uiPriority w:val="99"/>
    <w:unhideWhenUsed/>
    <w:rsid w:val="00155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EAB"/>
    <w:pPr>
      <w:spacing w:after="0" w:line="240" w:lineRule="auto"/>
      <w:ind w:firstLine="720"/>
      <w:jc w:val="both"/>
    </w:pPr>
    <w:rPr>
      <w:rFonts w:ascii="Times New Roman" w:eastAsia="Calibri" w:hAnsi="Times New Roman" w:cs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428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34"/>
  </w:style>
  <w:style w:type="paragraph" w:styleId="Footer">
    <w:name w:val="footer"/>
    <w:basedOn w:val="Normal"/>
    <w:link w:val="FooterChar"/>
    <w:uiPriority w:val="99"/>
    <w:unhideWhenUsed/>
    <w:rsid w:val="008C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34"/>
  </w:style>
  <w:style w:type="character" w:styleId="PageNumber">
    <w:name w:val="page number"/>
    <w:basedOn w:val="DefaultParagraphFont"/>
    <w:uiPriority w:val="99"/>
    <w:semiHidden/>
    <w:unhideWhenUsed/>
    <w:rsid w:val="00CD4EF4"/>
  </w:style>
  <w:style w:type="character" w:styleId="Hyperlink">
    <w:name w:val="Hyperlink"/>
    <w:basedOn w:val="DefaultParagraphFont"/>
    <w:uiPriority w:val="99"/>
    <w:unhideWhenUsed/>
    <w:rsid w:val="00155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yOlsen/COVIDworkimpactIndia20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Manchester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Clelia</dc:creator>
  <cp:lastModifiedBy>Windows User</cp:lastModifiedBy>
  <cp:revision>5</cp:revision>
  <cp:lastPrinted>2021-05-21T15:52:00Z</cp:lastPrinted>
  <dcterms:created xsi:type="dcterms:W3CDTF">2020-11-30T14:17:00Z</dcterms:created>
  <dcterms:modified xsi:type="dcterms:W3CDTF">2021-05-21T15:53:00Z</dcterms:modified>
</cp:coreProperties>
</file>