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90" w:rsidRDefault="00A32B90" w:rsidP="00A32B90">
      <w:pPr>
        <w:jc w:val="center"/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u w:val="single"/>
          <w:lang w:val="es-ES"/>
        </w:rPr>
        <w:t>Resumen</w:t>
      </w:r>
      <w:r w:rsidRPr="00A32B90">
        <w:rPr>
          <w:rFonts w:ascii="Arial" w:hAnsi="Arial" w:cs="Arial"/>
          <w:sz w:val="20"/>
          <w:szCs w:val="20"/>
          <w:lang w:val="es-ES"/>
        </w:rPr>
        <w:t xml:space="preserve"> (</w:t>
      </w:r>
      <w:r>
        <w:rPr>
          <w:rFonts w:ascii="Arial" w:hAnsi="Arial" w:cs="Arial"/>
          <w:sz w:val="20"/>
          <w:szCs w:val="20"/>
          <w:lang w:val="es-ES"/>
        </w:rPr>
        <w:t>Grupo 2): Ag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ES"/>
        </w:rPr>
        <w:t>uilar, Gallo, Tesio</w:t>
      </w:r>
    </w:p>
    <w:p w:rsidR="004756E9" w:rsidRPr="00D81140" w:rsidRDefault="004756E9" w:rsidP="004756E9">
      <w:pPr>
        <w:rPr>
          <w:rFonts w:ascii="Arial" w:hAnsi="Arial" w:cs="Arial"/>
          <w:sz w:val="20"/>
          <w:szCs w:val="20"/>
          <w:lang w:val="es-ES"/>
        </w:rPr>
      </w:pPr>
      <w:r w:rsidRPr="00D81140">
        <w:rPr>
          <w:rFonts w:ascii="Arial" w:hAnsi="Arial" w:cs="Arial"/>
          <w:sz w:val="20"/>
          <w:szCs w:val="20"/>
          <w:u w:val="single"/>
          <w:lang w:val="es-ES"/>
        </w:rPr>
        <w:t xml:space="preserve">Puntero: </w:t>
      </w:r>
      <w:r w:rsidRPr="00D81140">
        <w:rPr>
          <w:rFonts w:ascii="Arial" w:hAnsi="Arial" w:cs="Arial"/>
          <w:sz w:val="20"/>
          <w:szCs w:val="20"/>
          <w:lang w:val="es-ES"/>
        </w:rPr>
        <w:t xml:space="preserve">Un puntero es una </w:t>
      </w:r>
      <w:r w:rsidRPr="00A32B90">
        <w:rPr>
          <w:rFonts w:ascii="Arial" w:hAnsi="Arial" w:cs="Arial"/>
          <w:sz w:val="20"/>
          <w:szCs w:val="20"/>
          <w:lang w:val="es-ES"/>
        </w:rPr>
        <w:t xml:space="preserve">variable que </w:t>
      </w:r>
      <w:r w:rsidRPr="00A32B90">
        <w:rPr>
          <w:rFonts w:ascii="Arial" w:hAnsi="Arial" w:cs="Arial"/>
          <w:bCs/>
          <w:sz w:val="20"/>
          <w:szCs w:val="20"/>
          <w:lang w:val="es-ES"/>
        </w:rPr>
        <w:t>contiene la dirección de memoria</w:t>
      </w:r>
      <w:r w:rsidRPr="00A32B90">
        <w:rPr>
          <w:rFonts w:ascii="Arial" w:hAnsi="Arial" w:cs="Arial"/>
          <w:sz w:val="20"/>
          <w:szCs w:val="20"/>
          <w:lang w:val="es-ES"/>
        </w:rPr>
        <w:t xml:space="preserve"> de un dato o de otra variable que contiene al dato. Quiere esto decir, que el puntero apunta al espacio físico</w:t>
      </w:r>
      <w:r w:rsidRPr="00D81140">
        <w:rPr>
          <w:rFonts w:ascii="Arial" w:hAnsi="Arial" w:cs="Arial"/>
          <w:sz w:val="20"/>
          <w:szCs w:val="20"/>
          <w:lang w:val="es-ES"/>
        </w:rPr>
        <w:t xml:space="preserve"> donde está el dato o la variable. Un puntero puede apuntar a un objeto de cualquier tipo, como por ejemplo, a una estructura o una función. Los punteros se pueden utilizar para referencia y manipular estructuras de datos, para referenciar bloques de memoria asignados </w:t>
      </w:r>
      <w:r w:rsidR="004F3DC7" w:rsidRPr="00D81140">
        <w:rPr>
          <w:rFonts w:ascii="Arial" w:hAnsi="Arial" w:cs="Arial"/>
          <w:sz w:val="20"/>
          <w:szCs w:val="20"/>
          <w:lang w:val="es-ES"/>
        </w:rPr>
        <w:t>dinámicamente</w:t>
      </w:r>
      <w:r w:rsidRPr="00D81140">
        <w:rPr>
          <w:rFonts w:ascii="Arial" w:hAnsi="Arial" w:cs="Arial"/>
          <w:sz w:val="20"/>
          <w:szCs w:val="20"/>
          <w:lang w:val="es-ES"/>
        </w:rPr>
        <w:t xml:space="preserve"> y para proveer el paso de argumentos por referencias en las llamadas a funciones.</w:t>
      </w:r>
    </w:p>
    <w:p w:rsidR="006838B7" w:rsidRPr="00D81140" w:rsidRDefault="00D81140" w:rsidP="006838B7">
      <w:pPr>
        <w:shd w:val="clear" w:color="auto" w:fill="FFFFFF"/>
        <w:spacing w:line="240" w:lineRule="auto"/>
        <w:ind w:hanging="360"/>
        <w:jc w:val="both"/>
        <w:rPr>
          <w:rFonts w:ascii="Arial" w:eastAsia="Batang" w:hAnsi="Arial" w:cs="Arial"/>
          <w:color w:val="000000"/>
          <w:sz w:val="20"/>
          <w:szCs w:val="20"/>
          <w:u w:val="single"/>
          <w:lang w:eastAsia="es-ES"/>
        </w:rPr>
      </w:pPr>
      <w:r w:rsidRPr="00D81140">
        <w:rPr>
          <w:rFonts w:ascii="Arial" w:eastAsia="Batang" w:hAnsi="Arial" w:cs="Arial"/>
          <w:color w:val="000000"/>
          <w:sz w:val="20"/>
          <w:szCs w:val="20"/>
          <w:lang w:eastAsia="es-ES"/>
        </w:rPr>
        <w:tab/>
      </w:r>
      <w:r w:rsidR="006838B7" w:rsidRPr="00D81140">
        <w:rPr>
          <w:rFonts w:ascii="Arial" w:eastAsia="Batang" w:hAnsi="Arial" w:cs="Arial"/>
          <w:color w:val="000000"/>
          <w:sz w:val="20"/>
          <w:szCs w:val="20"/>
          <w:u w:val="single"/>
          <w:lang w:eastAsia="es-ES"/>
        </w:rPr>
        <w:t>Concepto de Organización</w:t>
      </w:r>
    </w:p>
    <w:p w:rsidR="006838B7" w:rsidRPr="006838B7" w:rsidRDefault="006838B7" w:rsidP="006838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Un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hyperlink r:id="rId5" w:history="1">
        <w:r w:rsidRPr="00D81140">
          <w:rPr>
            <w:rFonts w:ascii="Arial" w:eastAsia="Times New Roman" w:hAnsi="Arial" w:cs="Arial"/>
            <w:color w:val="000000"/>
            <w:sz w:val="20"/>
            <w:szCs w:val="20"/>
            <w:lang w:eastAsia="es-AR"/>
          </w:rPr>
          <w:t>archivo</w:t>
        </w:r>
      </w:hyperlink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 un elemento de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hyperlink r:id="rId6" w:history="1">
        <w:r w:rsidRPr="00D81140">
          <w:rPr>
            <w:rFonts w:ascii="Arial" w:eastAsia="Times New Roman" w:hAnsi="Arial" w:cs="Arial"/>
            <w:color w:val="000000"/>
            <w:sz w:val="20"/>
            <w:szCs w:val="20"/>
            <w:lang w:eastAsia="es-AR"/>
          </w:rPr>
          <w:t>información</w:t>
        </w:r>
      </w:hyperlink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conformado por un conjunto de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hyperlink r:id="rId7" w:history="1">
        <w:r w:rsidRPr="00D81140">
          <w:rPr>
            <w:rFonts w:ascii="Arial" w:eastAsia="Times New Roman" w:hAnsi="Arial" w:cs="Arial"/>
            <w:color w:val="000000"/>
            <w:sz w:val="20"/>
            <w:szCs w:val="20"/>
            <w:lang w:eastAsia="es-AR"/>
          </w:rPr>
          <w:t>registros</w:t>
        </w:r>
      </w:hyperlink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Estos registros a su vez están compuestos por una serie de caracteres o bytes. 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Los archivos también son llamados contenedores de los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hyperlink r:id="rId8" w:history="1">
        <w:r w:rsidRPr="00D81140">
          <w:rPr>
            <w:rFonts w:ascii="Arial" w:eastAsia="Times New Roman" w:hAnsi="Arial" w:cs="Arial"/>
            <w:color w:val="000000"/>
            <w:sz w:val="20"/>
            <w:szCs w:val="20"/>
            <w:lang w:eastAsia="es-AR"/>
          </w:rPr>
          <w:t>datos</w:t>
        </w:r>
      </w:hyperlink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que nos suministran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hyperlink r:id="rId9" w:history="1">
        <w:r w:rsidRPr="00D81140">
          <w:rPr>
            <w:rFonts w:ascii="Arial" w:eastAsia="Times New Roman" w:hAnsi="Arial" w:cs="Arial"/>
            <w:color w:val="000000"/>
            <w:sz w:val="20"/>
            <w:szCs w:val="20"/>
            <w:lang w:eastAsia="es-AR"/>
          </w:rPr>
          <w:t>información</w:t>
        </w:r>
      </w:hyperlink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 la organización.</w:t>
      </w:r>
    </w:p>
    <w:p w:rsidR="006838B7" w:rsidRPr="006838B7" w:rsidRDefault="006838B7" w:rsidP="006838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4756E9" w:rsidRPr="00D81140" w:rsidRDefault="006838B7" w:rsidP="006838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Un archivo puede estar estructurado en varios niveles, puede tener </w:t>
      </w:r>
      <w:proofErr w:type="spellStart"/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subarchivos</w:t>
      </w:r>
      <w:proofErr w:type="spellEnd"/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o subniveles a su vez estos contienen varios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hyperlink r:id="rId10" w:history="1">
        <w:r w:rsidRPr="00D81140">
          <w:rPr>
            <w:rFonts w:ascii="Arial" w:eastAsia="Times New Roman" w:hAnsi="Arial" w:cs="Arial"/>
            <w:color w:val="000000"/>
            <w:sz w:val="20"/>
            <w:szCs w:val="20"/>
            <w:lang w:eastAsia="es-AR"/>
          </w:rPr>
          <w:t>registros</w:t>
        </w:r>
      </w:hyperlink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  <w:r w:rsidRPr="006838B7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 artículos y estos a su vez tienen rúbricas, campos o atributos que contienen la i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nformación agrupada o elemental</w:t>
      </w:r>
    </w:p>
    <w:p w:rsidR="006838B7" w:rsidRPr="00D81140" w:rsidRDefault="006838B7" w:rsidP="006838B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4756E9" w:rsidRPr="00D81140" w:rsidRDefault="004756E9" w:rsidP="004756E9">
      <w:pPr>
        <w:rPr>
          <w:rFonts w:ascii="Arial" w:hAnsi="Arial" w:cs="Arial"/>
          <w:sz w:val="20"/>
          <w:szCs w:val="20"/>
          <w:u w:val="single"/>
          <w:lang w:val="es-ES"/>
        </w:rPr>
      </w:pPr>
      <w:r w:rsidRPr="00D81140">
        <w:rPr>
          <w:rFonts w:ascii="Arial" w:hAnsi="Arial" w:cs="Arial"/>
          <w:sz w:val="20"/>
          <w:szCs w:val="20"/>
          <w:u w:val="single"/>
          <w:lang w:val="es-ES"/>
        </w:rPr>
        <w:t xml:space="preserve">Archivos convencionales: </w:t>
      </w:r>
    </w:p>
    <w:p w:rsidR="00D81140" w:rsidRPr="00D81140" w:rsidRDefault="004756E9" w:rsidP="00D81140">
      <w:pPr>
        <w:shd w:val="clear" w:color="auto" w:fill="FFFFFF"/>
        <w:spacing w:after="0" w:line="240" w:lineRule="auto"/>
        <w:jc w:val="both"/>
        <w:rPr>
          <w:rFonts w:ascii="Arial" w:eastAsia="Batang" w:hAnsi="Arial" w:cs="Arial"/>
          <w:color w:val="000000"/>
          <w:sz w:val="20"/>
          <w:szCs w:val="20"/>
          <w:lang w:eastAsia="es-ES"/>
        </w:rPr>
      </w:pPr>
      <w:r w:rsidRPr="00D81140">
        <w:rPr>
          <w:rFonts w:ascii="Arial" w:eastAsia="Batang" w:hAnsi="Arial" w:cs="Arial"/>
          <w:color w:val="000000"/>
          <w:sz w:val="20"/>
          <w:szCs w:val="20"/>
          <w:lang w:eastAsia="es-ES"/>
        </w:rPr>
        <w:t xml:space="preserve">Están asociados a una </w:t>
      </w:r>
      <w:hyperlink r:id="rId11" w:history="1">
        <w:r w:rsidRPr="00D81140">
          <w:rPr>
            <w:rFonts w:ascii="Arial" w:eastAsia="Batang" w:hAnsi="Arial" w:cs="Arial"/>
            <w:color w:val="000000"/>
            <w:sz w:val="20"/>
            <w:szCs w:val="20"/>
            <w:lang w:eastAsia="es-ES"/>
          </w:rPr>
          <w:t>filosofía</w:t>
        </w:r>
      </w:hyperlink>
      <w:r w:rsidRPr="00D81140">
        <w:rPr>
          <w:rFonts w:ascii="Arial" w:eastAsia="Batang" w:hAnsi="Arial" w:cs="Arial"/>
          <w:color w:val="000000"/>
          <w:sz w:val="20"/>
          <w:szCs w:val="20"/>
          <w:lang w:eastAsia="es-ES"/>
        </w:rPr>
        <w:t xml:space="preserve"> de </w:t>
      </w:r>
      <w:hyperlink r:id="rId12" w:history="1">
        <w:r w:rsidRPr="00D81140">
          <w:rPr>
            <w:rFonts w:ascii="Arial" w:eastAsia="Batang" w:hAnsi="Arial" w:cs="Arial"/>
            <w:color w:val="000000"/>
            <w:sz w:val="20"/>
            <w:szCs w:val="20"/>
            <w:lang w:eastAsia="es-ES"/>
          </w:rPr>
          <w:t>lenguaje</w:t>
        </w:r>
      </w:hyperlink>
      <w:r w:rsidRPr="00D81140">
        <w:rPr>
          <w:rFonts w:ascii="Arial" w:eastAsia="Batang" w:hAnsi="Arial" w:cs="Arial"/>
          <w:color w:val="000000"/>
          <w:sz w:val="20"/>
          <w:szCs w:val="20"/>
          <w:lang w:eastAsia="es-ES"/>
        </w:rPr>
        <w:t xml:space="preserve"> más artesanal, son los que tienen una relación directa con los </w:t>
      </w:r>
      <w:hyperlink r:id="rId13" w:history="1">
        <w:r w:rsidRPr="00D81140">
          <w:rPr>
            <w:rFonts w:ascii="Arial" w:eastAsia="Batang" w:hAnsi="Arial" w:cs="Arial"/>
            <w:color w:val="000000"/>
            <w:sz w:val="20"/>
            <w:szCs w:val="20"/>
            <w:lang w:eastAsia="es-ES"/>
          </w:rPr>
          <w:t>programas</w:t>
        </w:r>
      </w:hyperlink>
      <w:r w:rsidRPr="00D81140">
        <w:rPr>
          <w:rFonts w:ascii="Arial" w:eastAsia="Batang" w:hAnsi="Arial" w:cs="Arial"/>
          <w:color w:val="000000"/>
          <w:sz w:val="20"/>
          <w:szCs w:val="20"/>
          <w:lang w:eastAsia="es-ES"/>
        </w:rPr>
        <w:t xml:space="preserve">. Las formas en las cuales pueden organizarse son archivos secuenciales o archivos directos. </w:t>
      </w:r>
    </w:p>
    <w:p w:rsidR="00D81140" w:rsidRPr="00D81140" w:rsidRDefault="00D81140" w:rsidP="00D81140">
      <w:pPr>
        <w:shd w:val="clear" w:color="auto" w:fill="FFFFFF"/>
        <w:spacing w:after="0" w:line="240" w:lineRule="auto"/>
        <w:jc w:val="both"/>
        <w:rPr>
          <w:rFonts w:ascii="Arial" w:eastAsia="Batang" w:hAnsi="Arial" w:cs="Arial"/>
          <w:color w:val="000000"/>
          <w:sz w:val="20"/>
          <w:szCs w:val="20"/>
          <w:lang w:eastAsia="es-ES"/>
        </w:rPr>
      </w:pPr>
    </w:p>
    <w:p w:rsidR="00D81140" w:rsidRPr="00D81140" w:rsidRDefault="004756E9" w:rsidP="004756E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Archivos secuenciales: Son los registros que están almacenados en una secuencia que depende de algún criterio definido. Por ejemplo, pueden almacenarse los registros de los empleados de </w:t>
      </w:r>
      <w:hyperlink r:id="rId14" w:history="1">
        <w:r w:rsidRPr="00D81140">
          <w:rPr>
            <w:rFonts w:ascii="Arial" w:eastAsia="Times New Roman" w:hAnsi="Arial" w:cs="Arial"/>
            <w:color w:val="000000"/>
            <w:sz w:val="20"/>
            <w:szCs w:val="20"/>
            <w:lang w:eastAsia="es-AR"/>
          </w:rPr>
          <w:t>la empresa</w:t>
        </w:r>
      </w:hyperlink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manera secuencial de acuerdo al departamento al que pertenecen o de acuerdo a su antigüedad.  Si se desea consultar o modificar información, también es necesario buscar uno por uno en los registros hasta encontrarla.</w:t>
      </w:r>
    </w:p>
    <w:p w:rsidR="006838B7" w:rsidRPr="00D81140" w:rsidRDefault="004756E9" w:rsidP="006838B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Archivos directos:</w:t>
      </w:r>
      <w:r w:rsidR="004F3DC7"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permiten accede</w:t>
      </w:r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r directamente a un </w:t>
      </w:r>
      <w:hyperlink r:id="rId15" w:history="1">
        <w:r w:rsidRPr="00D81140">
          <w:rPr>
            <w:rFonts w:ascii="Arial" w:eastAsia="Times New Roman" w:hAnsi="Arial" w:cs="Arial"/>
            <w:color w:val="000000"/>
            <w:sz w:val="20"/>
            <w:szCs w:val="20"/>
            <w:lang w:eastAsia="es-AR"/>
          </w:rPr>
          <w:t>registro</w:t>
        </w:r>
      </w:hyperlink>
      <w:r w:rsidRPr="00D81140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información sin tener que buscar uno a uno por todos los registros del archivo, utilizando una llave de acceso dentro del archivo.</w:t>
      </w:r>
    </w:p>
    <w:p w:rsidR="004756E9" w:rsidRPr="00D81140" w:rsidRDefault="004756E9" w:rsidP="00D81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ORGANIZACIÓN RELATIVA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Una </w:t>
      </w:r>
      <w:r w:rsidR="00D81140" w:rsidRPr="00D81140">
        <w:rPr>
          <w:rFonts w:ascii="Arial" w:eastAsia="Times New Roman" w:hAnsi="Arial" w:cs="Arial"/>
          <w:sz w:val="20"/>
          <w:szCs w:val="20"/>
          <w:lang w:eastAsia="es-AR"/>
        </w:rPr>
        <w:t>organización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 es relativa cuando consiste en un conjunto de celdas numeradas desde 0 o 1 hasta 'n', las cuales </w:t>
      </w:r>
      <w:r w:rsidR="00A43614" w:rsidRPr="00D81140">
        <w:rPr>
          <w:rFonts w:ascii="Arial" w:eastAsia="Times New Roman" w:hAnsi="Arial" w:cs="Arial"/>
          <w:sz w:val="20"/>
          <w:szCs w:val="20"/>
          <w:lang w:eastAsia="es-AR"/>
        </w:rPr>
        <w:t>están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 grabadas en forma contiguas en el disco.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>Las celdas pueden o no contener información. Si queremos acceder a un registro determinado tenemos que especificar el número de celda en que se encuentra.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>En cada celda puede haber uno o más registros (en general es uno, si es más de uno se dice que el archivo tiene "</w:t>
      </w:r>
      <w:proofErr w:type="spellStart"/>
      <w:r w:rsidRPr="00D81140">
        <w:rPr>
          <w:rFonts w:ascii="Arial" w:eastAsia="Times New Roman" w:hAnsi="Arial" w:cs="Arial"/>
          <w:sz w:val="20"/>
          <w:szCs w:val="20"/>
          <w:lang w:eastAsia="es-AR"/>
        </w:rPr>
        <w:t>buckets</w:t>
      </w:r>
      <w:proofErr w:type="spellEnd"/>
      <w:r w:rsidRPr="00D81140">
        <w:rPr>
          <w:rFonts w:ascii="Arial" w:eastAsia="Times New Roman" w:hAnsi="Arial" w:cs="Arial"/>
          <w:sz w:val="20"/>
          <w:szCs w:val="20"/>
          <w:lang w:eastAsia="es-AR"/>
        </w:rPr>
        <w:t>").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>Hay dos formas de acceder</w:t>
      </w:r>
      <w:r w:rsidR="00D81140">
        <w:rPr>
          <w:rFonts w:ascii="Arial" w:eastAsia="Times New Roman" w:hAnsi="Arial" w:cs="Arial"/>
          <w:sz w:val="20"/>
          <w:szCs w:val="20"/>
          <w:lang w:eastAsia="es-AR"/>
        </w:rPr>
        <w:t>:</w:t>
      </w:r>
    </w:p>
    <w:p w:rsidR="004756E9" w:rsidRPr="00D81140" w:rsidRDefault="004756E9" w:rsidP="00475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Acceso directo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>: especificando el número de celda.</w:t>
      </w:r>
    </w:p>
    <w:p w:rsidR="004756E9" w:rsidRPr="00D81140" w:rsidRDefault="004756E9" w:rsidP="00475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Acceso secuencial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>: a partir de una determinada celda el siguiente.</w:t>
      </w:r>
    </w:p>
    <w:p w:rsidR="004756E9" w:rsidRPr="00D81140" w:rsidRDefault="004756E9" w:rsidP="004756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Características:</w:t>
      </w:r>
    </w:p>
    <w:p w:rsidR="004756E9" w:rsidRPr="00D81140" w:rsidRDefault="004756E9" w:rsidP="004756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>Las celdas son de longitud fija (pueden ser '</w:t>
      </w:r>
      <w:proofErr w:type="spellStart"/>
      <w:r w:rsidRPr="00D81140">
        <w:rPr>
          <w:rFonts w:ascii="Arial" w:eastAsia="Times New Roman" w:hAnsi="Arial" w:cs="Arial"/>
          <w:sz w:val="20"/>
          <w:szCs w:val="20"/>
          <w:lang w:eastAsia="es-AR"/>
        </w:rPr>
        <w:t>buckets</w:t>
      </w:r>
      <w:proofErr w:type="spellEnd"/>
      <w:r w:rsidRPr="00D81140">
        <w:rPr>
          <w:rFonts w:ascii="Arial" w:eastAsia="Times New Roman" w:hAnsi="Arial" w:cs="Arial"/>
          <w:sz w:val="20"/>
          <w:szCs w:val="20"/>
          <w:lang w:eastAsia="es-AR"/>
        </w:rPr>
        <w:t>').</w:t>
      </w:r>
    </w:p>
    <w:p w:rsidR="004756E9" w:rsidRPr="00D81140" w:rsidRDefault="004756E9" w:rsidP="004756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>Los registros tienen un tamaño máximo igual al tamaño de la celda.</w:t>
      </w:r>
    </w:p>
    <w:p w:rsidR="004756E9" w:rsidRPr="00D81140" w:rsidRDefault="004756E9" w:rsidP="004756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>Cada celda tiene un número que la identifica (a su vez permite identificar al registro que contiene).</w:t>
      </w:r>
    </w:p>
    <w:p w:rsidR="004756E9" w:rsidRPr="00D81140" w:rsidRDefault="004756E9" w:rsidP="004756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>El número de celda no tiene por qué figurar en el contenido del registro.</w:t>
      </w:r>
    </w:p>
    <w:p w:rsidR="004756E9" w:rsidRPr="00D81140" w:rsidRDefault="004756E9" w:rsidP="00E60AED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>Hay un número máximo de celdas que se establece al crear el archivo el cual puede ampliarse.</w:t>
      </w:r>
    </w:p>
    <w:p w:rsidR="004756E9" w:rsidRPr="00D81140" w:rsidRDefault="004756E9" w:rsidP="004756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bookmarkStart w:id="1" w:name="ORGANIZACIÓN_DE_ARCHIVOS-Tipos_de_organi"/>
      <w:bookmarkEnd w:id="1"/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lastRenderedPageBreak/>
        <w:t>Operaciones con el archivo:</w:t>
      </w:r>
    </w:p>
    <w:p w:rsidR="004756E9" w:rsidRPr="00D81140" w:rsidRDefault="004756E9" w:rsidP="004756E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4257675" cy="2365375"/>
            <wp:effectExtent l="0" t="0" r="0" b="0"/>
            <wp:docPr id="1" name="Imagen 1" descr="OperacionesRelati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cionesRelativ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69" cy="23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140">
        <w:rPr>
          <w:rFonts w:ascii="Arial" w:eastAsia="Times New Roman" w:hAnsi="Arial" w:cs="Arial"/>
          <w:sz w:val="20"/>
          <w:szCs w:val="20"/>
          <w:lang w:eastAsia="es-AR"/>
        </w:rPr>
        <w:br/>
      </w:r>
    </w:p>
    <w:p w:rsidR="00D81140" w:rsidRDefault="004756E9" w:rsidP="00D81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ORGANIZACIÓN DIRECTA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Una organización es directa cuando los registros se graban en posiciones que dependen del valor de una clave. Se le llama clave a una parte del contenido del registro que permita identificarlo unívocamente. En un archivo de alumnos es lógico usar como clave el </w:t>
      </w:r>
      <w:r w:rsidR="00D81140" w:rsidRPr="00D81140">
        <w:rPr>
          <w:rFonts w:ascii="Arial" w:eastAsia="Times New Roman" w:hAnsi="Arial" w:cs="Arial"/>
          <w:sz w:val="20"/>
          <w:szCs w:val="20"/>
          <w:lang w:eastAsia="es-AR"/>
        </w:rPr>
        <w:t>número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 de padrón, en un inventario el número de pieza, en un registro de cuentas de ahorro el número de cuenta. Cuando tenemos un conjunto de registros tenemos un conjunto de claves.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2009775" cy="920888"/>
            <wp:effectExtent l="0" t="0" r="0" b="0"/>
            <wp:docPr id="5" name="Imagen 5" descr="ClavesDirec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vesDireccion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198" cy="93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>Pero quizás todo el rango de claves posibles no se mapea uno a uno con los datos almacenados, porque por ejemplo para el caso de los alumnos de la facultad, no hay tantos alumnos como padrones posibles.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Necesitamos lo que se llama una </w:t>
      </w: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"función de </w:t>
      </w:r>
      <w:proofErr w:type="spellStart"/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hashing</w:t>
      </w:r>
      <w:proofErr w:type="spellEnd"/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"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D81140">
        <w:rPr>
          <w:rFonts w:ascii="Arial" w:eastAsia="Times New Roman" w:hAnsi="Arial" w:cs="Arial"/>
          <w:i/>
          <w:iCs/>
          <w:sz w:val="20"/>
          <w:szCs w:val="20"/>
          <w:lang w:eastAsia="es-AR"/>
        </w:rPr>
        <w:t>(también llamada de aleatorización)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 que se encargue de distribuir en forma pareja las claves en el espacio de direcciones.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2605534" cy="876300"/>
            <wp:effectExtent l="0" t="0" r="4445" b="0"/>
            <wp:docPr id="3" name="Imagen 3" descr="ClavesHashingDirec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vesHashingDireccion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01" cy="88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Al ser el conjunto de claves mayor que el de las direcciones del disco, es lógico que ocurra el caso en que se asigne la misma posición a dos claves distintas. En ese caso se dice que hay una </w:t>
      </w: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colisión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. Y cuando esto ocurre a las claves que provocan la colisión se las llama </w:t>
      </w: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sinónimos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. Hay distintos métodos para tratar colisiones. Se puede por ejemplo crear un área de </w:t>
      </w:r>
      <w:proofErr w:type="spellStart"/>
      <w:r w:rsidRPr="00D81140">
        <w:rPr>
          <w:rFonts w:ascii="Arial" w:eastAsia="Times New Roman" w:hAnsi="Arial" w:cs="Arial"/>
          <w:sz w:val="20"/>
          <w:szCs w:val="20"/>
          <w:lang w:eastAsia="es-AR"/>
        </w:rPr>
        <w:t>overflow</w:t>
      </w:r>
      <w:proofErr w:type="spellEnd"/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 y poner allí los registros que no se pudieron ubicar. La idea es que con un acceso se llegue al registro 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lastRenderedPageBreak/>
        <w:t>buscado, pero dadas determinadas condiciones puede que eso no sea así.</w:t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D81140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Cada posición tiene que guardar si está llena, vacía o borrada. Si se quiere recuperar un registro, se debe leer el archivo, con la función de </w:t>
      </w:r>
      <w:proofErr w:type="spellStart"/>
      <w:r w:rsidRPr="00D81140">
        <w:rPr>
          <w:rFonts w:ascii="Arial" w:eastAsia="Times New Roman" w:hAnsi="Arial" w:cs="Arial"/>
          <w:sz w:val="20"/>
          <w:szCs w:val="20"/>
          <w:lang w:eastAsia="es-AR"/>
        </w:rPr>
        <w:t>hashing</w:t>
      </w:r>
      <w:proofErr w:type="spellEnd"/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 buscamos la dirección donde debería estar y analizamos si hubo colisión o no.</w:t>
      </w:r>
    </w:p>
    <w:p w:rsidR="00D81140" w:rsidRPr="00D81140" w:rsidRDefault="00D81140" w:rsidP="00D811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Características:</w:t>
      </w:r>
    </w:p>
    <w:p w:rsidR="00D81140" w:rsidRPr="00D81140" w:rsidRDefault="00D81140" w:rsidP="00D81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>Los registros deben poseer una clave.</w:t>
      </w:r>
    </w:p>
    <w:p w:rsidR="00D81140" w:rsidRPr="00D81140" w:rsidRDefault="00D81140" w:rsidP="00D81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Tienen una función de </w:t>
      </w:r>
      <w:proofErr w:type="spellStart"/>
      <w:r w:rsidRPr="00D81140">
        <w:rPr>
          <w:rFonts w:ascii="Arial" w:eastAsia="Times New Roman" w:hAnsi="Arial" w:cs="Arial"/>
          <w:sz w:val="20"/>
          <w:szCs w:val="20"/>
          <w:lang w:eastAsia="es-AR"/>
        </w:rPr>
        <w:t>hashing</w:t>
      </w:r>
      <w:proofErr w:type="spellEnd"/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 que permiten dado una clave conocer la posición del registro.</w:t>
      </w:r>
    </w:p>
    <w:p w:rsidR="00D81140" w:rsidRPr="00D81140" w:rsidRDefault="00D81140" w:rsidP="00D811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>Existe la posibilidad de colisión.</w:t>
      </w:r>
    </w:p>
    <w:p w:rsidR="00D81140" w:rsidRPr="00D81140" w:rsidRDefault="00D81140" w:rsidP="00D81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  <w:lang w:eastAsia="es-AR"/>
        </w:rPr>
      </w:pPr>
      <w:r w:rsidRPr="00D81140">
        <w:rPr>
          <w:rFonts w:ascii="Arial" w:eastAsia="Times New Roman" w:hAnsi="Arial" w:cs="Arial"/>
          <w:sz w:val="20"/>
          <w:szCs w:val="20"/>
          <w:lang w:eastAsia="es-AR"/>
        </w:rPr>
        <w:t xml:space="preserve">El espacio asignado es, en principio, fijo, y no puede ampliarse, ya que eso implicaría cambiar la función de </w:t>
      </w:r>
      <w:proofErr w:type="spellStart"/>
      <w:r w:rsidRPr="00D81140">
        <w:rPr>
          <w:rFonts w:ascii="Arial" w:eastAsia="Times New Roman" w:hAnsi="Arial" w:cs="Arial"/>
          <w:sz w:val="20"/>
          <w:szCs w:val="20"/>
          <w:lang w:eastAsia="es-AR"/>
        </w:rPr>
        <w:t>hashing</w:t>
      </w:r>
      <w:proofErr w:type="spellEnd"/>
      <w:r w:rsidRPr="00D81140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4756E9" w:rsidRPr="00D81140" w:rsidRDefault="004756E9" w:rsidP="004756E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proofErr w:type="spellStart"/>
      <w:proofErr w:type="gramStart"/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peraciones</w:t>
      </w:r>
      <w:proofErr w:type="spellEnd"/>
      <w:proofErr w:type="gramEnd"/>
      <w:r w:rsidRPr="00D8114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con el archivo:</w:t>
      </w:r>
    </w:p>
    <w:p w:rsidR="004756E9" w:rsidRPr="00D81140" w:rsidRDefault="004756E9" w:rsidP="004756E9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D81140">
        <w:rPr>
          <w:rFonts w:ascii="Arial" w:eastAsia="Times New Roman" w:hAnsi="Arial" w:cs="Arial"/>
          <w:noProof/>
          <w:sz w:val="20"/>
          <w:szCs w:val="20"/>
          <w:lang w:eastAsia="es-AR"/>
        </w:rPr>
        <w:drawing>
          <wp:inline distT="0" distB="0" distL="0" distR="0">
            <wp:extent cx="3676650" cy="2251075"/>
            <wp:effectExtent l="0" t="0" r="0" b="0"/>
            <wp:docPr id="2" name="Imagen 2" descr="OperacionesDirec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racionesDirect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52" cy="22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97" w:rsidRPr="00D81140" w:rsidRDefault="00FB5897" w:rsidP="004756E9">
      <w:pPr>
        <w:rPr>
          <w:rFonts w:ascii="Arial" w:hAnsi="Arial" w:cs="Arial"/>
          <w:sz w:val="20"/>
          <w:szCs w:val="20"/>
        </w:rPr>
      </w:pPr>
    </w:p>
    <w:sectPr w:rsidR="00FB5897" w:rsidRPr="00D81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67B"/>
    <w:multiLevelType w:val="hybridMultilevel"/>
    <w:tmpl w:val="7F1497E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63641E"/>
    <w:multiLevelType w:val="hybridMultilevel"/>
    <w:tmpl w:val="45426556"/>
    <w:lvl w:ilvl="0" w:tplc="2C0A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3D6C075F"/>
    <w:multiLevelType w:val="multilevel"/>
    <w:tmpl w:val="0854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06005"/>
    <w:multiLevelType w:val="multilevel"/>
    <w:tmpl w:val="CC2C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F4C2C"/>
    <w:multiLevelType w:val="multilevel"/>
    <w:tmpl w:val="E562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A52D2"/>
    <w:multiLevelType w:val="multilevel"/>
    <w:tmpl w:val="F2B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C30C6"/>
    <w:multiLevelType w:val="hybridMultilevel"/>
    <w:tmpl w:val="AEB845D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E9"/>
    <w:rsid w:val="004756E9"/>
    <w:rsid w:val="004F3DC7"/>
    <w:rsid w:val="006838B7"/>
    <w:rsid w:val="00A32B90"/>
    <w:rsid w:val="00A43614"/>
    <w:rsid w:val="00D32FC9"/>
    <w:rsid w:val="00D81140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AB14A3-1E47-45EC-A6FF-F4F93E47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5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4756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56E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756E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4756E9"/>
    <w:rPr>
      <w:i/>
      <w:iCs/>
    </w:rPr>
  </w:style>
  <w:style w:type="character" w:styleId="Textoennegrita">
    <w:name w:val="Strong"/>
    <w:basedOn w:val="Fuentedeprrafopredeter"/>
    <w:uiPriority w:val="22"/>
    <w:qFormat/>
    <w:rsid w:val="004756E9"/>
    <w:rPr>
      <w:b/>
      <w:bCs/>
    </w:rPr>
  </w:style>
  <w:style w:type="character" w:customStyle="1" w:styleId="apple-converted-space">
    <w:name w:val="apple-converted-space"/>
    <w:basedOn w:val="Fuentedeprrafopredeter"/>
    <w:rsid w:val="006838B7"/>
  </w:style>
  <w:style w:type="character" w:styleId="Hipervnculo">
    <w:name w:val="Hyperlink"/>
    <w:basedOn w:val="Fuentedeprrafopredeter"/>
    <w:uiPriority w:val="99"/>
    <w:semiHidden/>
    <w:unhideWhenUsed/>
    <w:rsid w:val="006838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8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444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688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67019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4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4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322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6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08671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basda/basda.shtml" TargetMode="External"/><Relationship Id="rId13" Type="http://schemas.openxmlformats.org/officeDocument/2006/relationships/hyperlink" Target="http://www.monografias.com/Computacion/Programacion/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onografias.com/trabajos7/regi/regi.shtml" TargetMode="External"/><Relationship Id="rId12" Type="http://schemas.openxmlformats.org/officeDocument/2006/relationships/hyperlink" Target="http://www.monografias.com/trabajos35/concepto-de-lenguaje/concepto-de-lenguaje.shtml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7/sisinf/sisinf.shtml" TargetMode="External"/><Relationship Id="rId11" Type="http://schemas.openxmlformats.org/officeDocument/2006/relationships/hyperlink" Target="http://www.monografias.com/trabajos910/en-torno-filosofia/en-torno-filosofia.shtml" TargetMode="External"/><Relationship Id="rId5" Type="http://schemas.openxmlformats.org/officeDocument/2006/relationships/hyperlink" Target="http://www.monografias.com/trabajos7/arch/arch.shtml" TargetMode="External"/><Relationship Id="rId15" Type="http://schemas.openxmlformats.org/officeDocument/2006/relationships/hyperlink" Target="http://www.monografias.com/trabajos7/regi/regi.shtml" TargetMode="External"/><Relationship Id="rId10" Type="http://schemas.openxmlformats.org/officeDocument/2006/relationships/hyperlink" Target="http://www.monografias.com/trabajos7/regi/regi.shtml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monografias.com/trabajos7/sisinf/sisinf.shtml" TargetMode="External"/><Relationship Id="rId14" Type="http://schemas.openxmlformats.org/officeDocument/2006/relationships/hyperlink" Target="http://www.monografias.com/trabajos11/empre/empre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Gianluca Tesio</cp:lastModifiedBy>
  <cp:revision>4</cp:revision>
  <dcterms:created xsi:type="dcterms:W3CDTF">2015-08-26T14:17:00Z</dcterms:created>
  <dcterms:modified xsi:type="dcterms:W3CDTF">2015-09-01T20:31:00Z</dcterms:modified>
</cp:coreProperties>
</file>