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6EB6" w:rsidRPr="00C57695" w:rsidRDefault="0029207A" w:rsidP="00C57695">
      <w:pPr>
        <w:pStyle w:val="Ttulo1"/>
        <w:spacing w:before="0" w:after="60" w:line="240" w:lineRule="auto"/>
        <w:jc w:val="both"/>
        <w:rPr>
          <w:rFonts w:asciiTheme="minorHAnsi" w:hAnsiTheme="minorHAnsi" w:cstheme="minorHAnsi"/>
          <w:b/>
          <w:color w:val="auto"/>
          <w:sz w:val="22"/>
          <w:szCs w:val="22"/>
          <w:u w:val="single"/>
        </w:rPr>
      </w:pPr>
      <w:r w:rsidRPr="00C57695">
        <w:rPr>
          <w:rFonts w:asciiTheme="minorHAnsi" w:hAnsiTheme="minorHAnsi" w:cstheme="minorHAnsi"/>
          <w:b/>
          <w:color w:val="auto"/>
          <w:sz w:val="22"/>
          <w:szCs w:val="22"/>
          <w:u w:val="single"/>
        </w:rPr>
        <w:t xml:space="preserve">Chaos </w:t>
      </w:r>
      <w:proofErr w:type="spellStart"/>
      <w:r w:rsidRPr="00C57695">
        <w:rPr>
          <w:rFonts w:asciiTheme="minorHAnsi" w:hAnsiTheme="minorHAnsi" w:cstheme="minorHAnsi"/>
          <w:b/>
          <w:color w:val="auto"/>
          <w:sz w:val="22"/>
          <w:szCs w:val="22"/>
          <w:u w:val="single"/>
        </w:rPr>
        <w:t>Report</w:t>
      </w:r>
      <w:proofErr w:type="spellEnd"/>
    </w:p>
    <w:p w:rsidR="0029207A" w:rsidRPr="00C57695" w:rsidRDefault="0029207A" w:rsidP="00C57695">
      <w:pPr>
        <w:pStyle w:val="Ttulo2"/>
        <w:spacing w:before="0" w:after="60" w:line="240" w:lineRule="auto"/>
        <w:jc w:val="both"/>
        <w:rPr>
          <w:rFonts w:asciiTheme="minorHAnsi" w:hAnsiTheme="minorHAnsi" w:cstheme="minorHAnsi"/>
          <w:b/>
          <w:color w:val="auto"/>
          <w:sz w:val="22"/>
          <w:szCs w:val="22"/>
        </w:rPr>
      </w:pPr>
      <w:r w:rsidRPr="00C57695">
        <w:rPr>
          <w:rFonts w:asciiTheme="minorHAnsi" w:hAnsiTheme="minorHAnsi" w:cstheme="minorHAnsi"/>
          <w:b/>
          <w:color w:val="auto"/>
          <w:sz w:val="22"/>
          <w:szCs w:val="22"/>
        </w:rPr>
        <w:t>¿Qué es?</w:t>
      </w:r>
    </w:p>
    <w:p w:rsidR="00D44694" w:rsidRPr="00C57695" w:rsidRDefault="00A42582" w:rsidP="00C57695">
      <w:pPr>
        <w:spacing w:after="60" w:line="240" w:lineRule="auto"/>
        <w:jc w:val="both"/>
        <w:rPr>
          <w:rFonts w:cstheme="minorHAnsi"/>
        </w:rPr>
      </w:pPr>
      <w:r w:rsidRPr="00C57695">
        <w:rPr>
          <w:rFonts w:cstheme="minorHAnsi"/>
        </w:rPr>
        <w:t xml:space="preserve">Es un estudio realizado por </w:t>
      </w:r>
      <w:proofErr w:type="spellStart"/>
      <w:r w:rsidRPr="00C57695">
        <w:rPr>
          <w:rFonts w:cstheme="minorHAnsi"/>
        </w:rPr>
        <w:t>Standish</w:t>
      </w:r>
      <w:proofErr w:type="spellEnd"/>
      <w:r w:rsidRPr="00C57695">
        <w:rPr>
          <w:rFonts w:cstheme="minorHAnsi"/>
        </w:rPr>
        <w:t xml:space="preserve"> </w:t>
      </w:r>
      <w:proofErr w:type="spellStart"/>
      <w:r w:rsidRPr="00C57695">
        <w:rPr>
          <w:rFonts w:cstheme="minorHAnsi"/>
        </w:rPr>
        <w:t>Group</w:t>
      </w:r>
      <w:proofErr w:type="spellEnd"/>
      <w:r w:rsidRPr="00C57695">
        <w:rPr>
          <w:rFonts w:cstheme="minorHAnsi"/>
        </w:rPr>
        <w:t>, con el fin de examinar los resultados de los proyectos de software, y así otros tomen como bases y ejemplos los modelos a seguir para que un proyecto tenga éxito.</w:t>
      </w:r>
    </w:p>
    <w:p w:rsidR="0029207A" w:rsidRPr="00C57695" w:rsidRDefault="0029207A" w:rsidP="00C57695">
      <w:pPr>
        <w:spacing w:after="60" w:line="240" w:lineRule="auto"/>
        <w:jc w:val="both"/>
        <w:rPr>
          <w:rFonts w:cstheme="minorHAnsi"/>
        </w:rPr>
      </w:pPr>
      <w:r w:rsidRPr="00C57695">
        <w:rPr>
          <w:rFonts w:cstheme="minorHAnsi"/>
        </w:rPr>
        <w:t>Se basa principalmente en tres criterios:</w:t>
      </w:r>
    </w:p>
    <w:p w:rsidR="0029207A" w:rsidRPr="00C57695" w:rsidRDefault="0029207A" w:rsidP="00C57695">
      <w:pPr>
        <w:pStyle w:val="Prrafodelista"/>
        <w:numPr>
          <w:ilvl w:val="0"/>
          <w:numId w:val="3"/>
        </w:numPr>
        <w:spacing w:after="60" w:line="240" w:lineRule="auto"/>
        <w:jc w:val="both"/>
        <w:rPr>
          <w:rFonts w:cstheme="minorHAnsi"/>
        </w:rPr>
      </w:pPr>
      <w:r w:rsidRPr="00C57695">
        <w:rPr>
          <w:rFonts w:cstheme="minorHAnsi"/>
        </w:rPr>
        <w:t>Tiempo: Se evalúa si los proyectos fueron finalizados dentro del plazo estimado.</w:t>
      </w:r>
    </w:p>
    <w:p w:rsidR="0029207A" w:rsidRPr="00C57695" w:rsidRDefault="0029207A" w:rsidP="00C57695">
      <w:pPr>
        <w:pStyle w:val="Prrafodelista"/>
        <w:numPr>
          <w:ilvl w:val="0"/>
          <w:numId w:val="3"/>
        </w:numPr>
        <w:spacing w:after="60" w:line="240" w:lineRule="auto"/>
        <w:jc w:val="both"/>
        <w:rPr>
          <w:rFonts w:cstheme="minorHAnsi"/>
        </w:rPr>
      </w:pPr>
      <w:r w:rsidRPr="00C57695">
        <w:rPr>
          <w:rFonts w:cstheme="minorHAnsi"/>
        </w:rPr>
        <w:t>Costes: Si los costos del proyecto no excedieron el monto presupuestado.</w:t>
      </w:r>
    </w:p>
    <w:p w:rsidR="0029207A" w:rsidRPr="00C57695" w:rsidRDefault="0029207A" w:rsidP="00C57695">
      <w:pPr>
        <w:pStyle w:val="Prrafodelista"/>
        <w:numPr>
          <w:ilvl w:val="0"/>
          <w:numId w:val="3"/>
        </w:numPr>
        <w:spacing w:after="60" w:line="240" w:lineRule="auto"/>
        <w:jc w:val="both"/>
        <w:rPr>
          <w:rFonts w:cstheme="minorHAnsi"/>
        </w:rPr>
      </w:pPr>
      <w:r w:rsidRPr="00C57695">
        <w:rPr>
          <w:rFonts w:cstheme="minorHAnsi"/>
        </w:rPr>
        <w:t>Requisitos: Si el resultado final cumple en su totalidad los requisitos solicitados.</w:t>
      </w:r>
    </w:p>
    <w:p w:rsidR="0029207A" w:rsidRPr="00C57695" w:rsidRDefault="0029207A" w:rsidP="00C57695">
      <w:pPr>
        <w:pStyle w:val="Ttulo3"/>
        <w:spacing w:before="0" w:after="60" w:line="240" w:lineRule="auto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C57695">
        <w:rPr>
          <w:rFonts w:asciiTheme="minorHAnsi" w:hAnsiTheme="minorHAnsi" w:cstheme="minorHAnsi"/>
          <w:color w:val="auto"/>
          <w:sz w:val="22"/>
          <w:szCs w:val="22"/>
        </w:rPr>
        <w:t>Un poco de historia…</w:t>
      </w:r>
    </w:p>
    <w:p w:rsidR="0029207A" w:rsidRPr="00C57695" w:rsidRDefault="0029207A" w:rsidP="00C57695">
      <w:pPr>
        <w:spacing w:after="60" w:line="240" w:lineRule="auto"/>
        <w:jc w:val="both"/>
        <w:rPr>
          <w:rFonts w:cstheme="minorHAnsi"/>
        </w:rPr>
      </w:pPr>
      <w:r w:rsidRPr="00C57695">
        <w:rPr>
          <w:rFonts w:cstheme="minorHAnsi"/>
        </w:rPr>
        <w:t xml:space="preserve">En 1985 fue formado </w:t>
      </w:r>
      <w:proofErr w:type="spellStart"/>
      <w:r w:rsidRPr="00C57695">
        <w:rPr>
          <w:rFonts w:cstheme="minorHAnsi"/>
        </w:rPr>
        <w:t>The</w:t>
      </w:r>
      <w:proofErr w:type="spellEnd"/>
      <w:r w:rsidRPr="00C57695">
        <w:rPr>
          <w:rFonts w:cstheme="minorHAnsi"/>
        </w:rPr>
        <w:t xml:space="preserve"> </w:t>
      </w:r>
      <w:proofErr w:type="spellStart"/>
      <w:r w:rsidRPr="00C57695">
        <w:rPr>
          <w:rFonts w:cstheme="minorHAnsi"/>
        </w:rPr>
        <w:t>Standish</w:t>
      </w:r>
      <w:proofErr w:type="spellEnd"/>
      <w:r w:rsidRPr="00C57695">
        <w:rPr>
          <w:rFonts w:cstheme="minorHAnsi"/>
        </w:rPr>
        <w:t xml:space="preserve"> </w:t>
      </w:r>
      <w:proofErr w:type="spellStart"/>
      <w:r w:rsidRPr="00C57695">
        <w:rPr>
          <w:rFonts w:cstheme="minorHAnsi"/>
        </w:rPr>
        <w:t>Group</w:t>
      </w:r>
      <w:proofErr w:type="spellEnd"/>
      <w:r w:rsidRPr="00C57695">
        <w:rPr>
          <w:rFonts w:cstheme="minorHAnsi"/>
        </w:rPr>
        <w:t xml:space="preserve"> con la visión de recolectar información de casos de la vida real de fallas de proyectos de software.</w:t>
      </w:r>
    </w:p>
    <w:p w:rsidR="0029207A" w:rsidRPr="00C57695" w:rsidRDefault="0029207A" w:rsidP="00C57695">
      <w:pPr>
        <w:spacing w:after="60" w:line="240" w:lineRule="auto"/>
        <w:jc w:val="both"/>
        <w:rPr>
          <w:rFonts w:cstheme="minorHAnsi"/>
        </w:rPr>
      </w:pPr>
      <w:r w:rsidRPr="00C57695">
        <w:rPr>
          <w:rFonts w:cstheme="minorHAnsi"/>
        </w:rPr>
        <w:t>Llevan más de 30 años investigando y proporcionando asesoramiento sobre la forma de aumentar el valor de las inversiones en software.</w:t>
      </w:r>
    </w:p>
    <w:p w:rsidR="0029207A" w:rsidRPr="00C57695" w:rsidRDefault="0029207A" w:rsidP="00C57695">
      <w:pPr>
        <w:spacing w:after="60" w:line="240" w:lineRule="auto"/>
        <w:jc w:val="both"/>
        <w:rPr>
          <w:rFonts w:cstheme="minorHAnsi"/>
        </w:rPr>
      </w:pPr>
      <w:r w:rsidRPr="00C57695">
        <w:rPr>
          <w:rFonts w:cstheme="minorHAnsi"/>
        </w:rPr>
        <w:t>En 1995 publicaron el primer reporte del caos, el cuál continúan emitiendo en la actualidad con una periodicidad bianual.</w:t>
      </w:r>
    </w:p>
    <w:p w:rsidR="0029207A" w:rsidRPr="00C57695" w:rsidRDefault="0029207A" w:rsidP="00C57695">
      <w:pPr>
        <w:spacing w:after="60" w:line="240" w:lineRule="auto"/>
        <w:jc w:val="both"/>
        <w:rPr>
          <w:rFonts w:cstheme="minorHAnsi"/>
        </w:rPr>
      </w:pPr>
      <w:r w:rsidRPr="00C57695">
        <w:rPr>
          <w:rFonts w:cstheme="minorHAnsi"/>
        </w:rPr>
        <w:t>En años recientes, el reporte del caos muestra que la ejecución de proyectos ha mejorado, pero no mucho.</w:t>
      </w:r>
    </w:p>
    <w:p w:rsidR="0029207A" w:rsidRPr="00C57695" w:rsidRDefault="0029207A" w:rsidP="00DA5FD1">
      <w:pPr>
        <w:spacing w:after="60" w:line="240" w:lineRule="auto"/>
        <w:jc w:val="center"/>
        <w:rPr>
          <w:rFonts w:cstheme="minorHAnsi"/>
        </w:rPr>
      </w:pPr>
      <w:bookmarkStart w:id="0" w:name="_GoBack"/>
      <w:r w:rsidRPr="00C57695">
        <w:rPr>
          <w:rFonts w:cstheme="minorHAnsi"/>
          <w:noProof/>
          <w:lang w:val="es-AR" w:eastAsia="es-AR"/>
        </w:rPr>
        <w:drawing>
          <wp:inline distT="0" distB="0" distL="0" distR="0" wp14:anchorId="40E18D0C" wp14:editId="27ECCEB7">
            <wp:extent cx="5210175" cy="2790825"/>
            <wp:effectExtent l="0" t="0" r="9525" b="9525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bookmarkEnd w:id="0"/>
    </w:p>
    <w:p w:rsidR="009E3859" w:rsidRPr="00C57695" w:rsidRDefault="009E3859" w:rsidP="00C57695">
      <w:pPr>
        <w:spacing w:after="60" w:line="240" w:lineRule="auto"/>
        <w:jc w:val="both"/>
        <w:rPr>
          <w:rFonts w:cstheme="minorHAnsi"/>
          <w:b/>
          <w:u w:val="single"/>
        </w:rPr>
      </w:pPr>
      <w:r w:rsidRPr="00C57695">
        <w:rPr>
          <w:rFonts w:cstheme="minorHAnsi"/>
          <w:b/>
          <w:u w:val="single"/>
        </w:rPr>
        <w:t>Referencias:</w:t>
      </w:r>
    </w:p>
    <w:p w:rsidR="009E3859" w:rsidRPr="00C57695" w:rsidRDefault="009E3859" w:rsidP="00C57695">
      <w:pPr>
        <w:pStyle w:val="Prrafodelista"/>
        <w:numPr>
          <w:ilvl w:val="0"/>
          <w:numId w:val="4"/>
        </w:numPr>
        <w:spacing w:after="60" w:line="240" w:lineRule="auto"/>
        <w:jc w:val="both"/>
        <w:rPr>
          <w:rFonts w:cstheme="minorHAnsi"/>
        </w:rPr>
      </w:pPr>
      <w:r w:rsidRPr="00C57695">
        <w:rPr>
          <w:rFonts w:cstheme="minorHAnsi"/>
        </w:rPr>
        <w:t>Exitosos: terminaron a tiempo, dentro del presupuesto planeado y cumplieron los requerimientos de sus usuarios.</w:t>
      </w:r>
    </w:p>
    <w:p w:rsidR="009E3859" w:rsidRPr="00C57695" w:rsidRDefault="009E3859" w:rsidP="00C57695">
      <w:pPr>
        <w:pStyle w:val="Prrafodelista"/>
        <w:numPr>
          <w:ilvl w:val="0"/>
          <w:numId w:val="4"/>
        </w:numPr>
        <w:spacing w:after="60" w:line="240" w:lineRule="auto"/>
        <w:jc w:val="both"/>
        <w:rPr>
          <w:rFonts w:cstheme="minorHAnsi"/>
        </w:rPr>
      </w:pPr>
      <w:r w:rsidRPr="00C57695">
        <w:rPr>
          <w:rFonts w:cstheme="minorHAnsi"/>
        </w:rPr>
        <w:t>Deficientes: excedieron sus presupuestos, su duración planeada o no cumplieron completamente con las necesidades de sus usuarios.</w:t>
      </w:r>
    </w:p>
    <w:p w:rsidR="009E3859" w:rsidRPr="00C57695" w:rsidRDefault="009E3859" w:rsidP="00C57695">
      <w:pPr>
        <w:pStyle w:val="Prrafodelista"/>
        <w:numPr>
          <w:ilvl w:val="0"/>
          <w:numId w:val="4"/>
        </w:numPr>
        <w:spacing w:after="60" w:line="240" w:lineRule="auto"/>
        <w:jc w:val="both"/>
        <w:rPr>
          <w:rFonts w:cstheme="minorHAnsi"/>
        </w:rPr>
      </w:pPr>
      <w:r w:rsidRPr="00C57695">
        <w:rPr>
          <w:rFonts w:cstheme="minorHAnsi"/>
        </w:rPr>
        <w:t>Fallidos: fueron cancelados y no terminaron.</w:t>
      </w:r>
    </w:p>
    <w:p w:rsidR="009E3859" w:rsidRDefault="0055000D" w:rsidP="00C57695">
      <w:pPr>
        <w:spacing w:after="60" w:line="240" w:lineRule="auto"/>
        <w:jc w:val="both"/>
        <w:rPr>
          <w:rFonts w:cstheme="minorHAnsi"/>
        </w:rPr>
      </w:pPr>
      <w:r w:rsidRPr="00C57695">
        <w:rPr>
          <w:rFonts w:cstheme="minorHAnsi"/>
        </w:rPr>
        <w:t>Los informes son un servicio pago. El último informe de fuentes confiables que se puede obtener de manera libre es el publicado en 2013 (correspondiente al 2012).</w:t>
      </w:r>
    </w:p>
    <w:p w:rsidR="00DA5FD1" w:rsidRPr="00C57695" w:rsidRDefault="00DA5FD1" w:rsidP="00DA5FD1">
      <w:pPr>
        <w:spacing w:after="60" w:line="240" w:lineRule="auto"/>
        <w:jc w:val="center"/>
        <w:rPr>
          <w:rFonts w:cstheme="minorHAnsi"/>
        </w:rPr>
      </w:pPr>
      <w:r>
        <w:rPr>
          <w:noProof/>
          <w:lang w:val="es-AR" w:eastAsia="es-AR"/>
        </w:rPr>
        <w:drawing>
          <wp:inline distT="0" distB="0" distL="0" distR="0" wp14:anchorId="69925CE5" wp14:editId="29E85234">
            <wp:extent cx="1790476" cy="2114286"/>
            <wp:effectExtent l="0" t="0" r="635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90476" cy="2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</w:rPr>
        <w:t xml:space="preserve">   </w:t>
      </w:r>
      <w:r>
        <w:rPr>
          <w:noProof/>
          <w:lang w:val="es-AR" w:eastAsia="es-AR"/>
        </w:rPr>
        <w:drawing>
          <wp:inline distT="0" distB="0" distL="0" distR="0" wp14:anchorId="7B88061E" wp14:editId="69C35B55">
            <wp:extent cx="4752381" cy="2295238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2381" cy="2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29D" w:rsidRPr="00C57695" w:rsidRDefault="00D2129D" w:rsidP="00DA5FD1">
      <w:pPr>
        <w:spacing w:after="60" w:line="240" w:lineRule="auto"/>
        <w:rPr>
          <w:rFonts w:cstheme="minorHAnsi"/>
        </w:rPr>
      </w:pPr>
    </w:p>
    <w:sectPr w:rsidR="00D2129D" w:rsidRPr="00C57695" w:rsidSect="00C57695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0DF9" w:rsidRDefault="001F0DF9" w:rsidP="0029207A">
      <w:pPr>
        <w:spacing w:after="0" w:line="240" w:lineRule="auto"/>
      </w:pPr>
      <w:r>
        <w:separator/>
      </w:r>
    </w:p>
  </w:endnote>
  <w:endnote w:type="continuationSeparator" w:id="0">
    <w:p w:rsidR="001F0DF9" w:rsidRDefault="001F0DF9" w:rsidP="002920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0DF9" w:rsidRDefault="001F0DF9" w:rsidP="0029207A">
      <w:pPr>
        <w:spacing w:after="0" w:line="240" w:lineRule="auto"/>
      </w:pPr>
      <w:r>
        <w:separator/>
      </w:r>
    </w:p>
  </w:footnote>
  <w:footnote w:type="continuationSeparator" w:id="0">
    <w:p w:rsidR="001F0DF9" w:rsidRDefault="001F0DF9" w:rsidP="002920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BF4EE5"/>
    <w:multiLevelType w:val="hybridMultilevel"/>
    <w:tmpl w:val="FF62FD9E"/>
    <w:lvl w:ilvl="0" w:tplc="341A1D4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DAACEC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A3603E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3D8B45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B9EB04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7B0646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34CC89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1ACA28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9ACFAD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61EF66BC"/>
    <w:multiLevelType w:val="hybridMultilevel"/>
    <w:tmpl w:val="0C6A9F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7A260A"/>
    <w:multiLevelType w:val="hybridMultilevel"/>
    <w:tmpl w:val="867017B2"/>
    <w:lvl w:ilvl="0" w:tplc="BB0440FC">
      <w:numFmt w:val="bullet"/>
      <w:lvlText w:val="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F112B5"/>
    <w:multiLevelType w:val="hybridMultilevel"/>
    <w:tmpl w:val="4052DBC2"/>
    <w:lvl w:ilvl="0" w:tplc="61AEB4CA">
      <w:numFmt w:val="bullet"/>
      <w:lvlText w:val="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07A"/>
    <w:rsid w:val="001D428D"/>
    <w:rsid w:val="001F0DF9"/>
    <w:rsid w:val="0029207A"/>
    <w:rsid w:val="0055000D"/>
    <w:rsid w:val="00700F58"/>
    <w:rsid w:val="009E3859"/>
    <w:rsid w:val="00A42582"/>
    <w:rsid w:val="00AF5B58"/>
    <w:rsid w:val="00B4783E"/>
    <w:rsid w:val="00B556F6"/>
    <w:rsid w:val="00BF3C2A"/>
    <w:rsid w:val="00C57695"/>
    <w:rsid w:val="00D2129D"/>
    <w:rsid w:val="00D44694"/>
    <w:rsid w:val="00D570AF"/>
    <w:rsid w:val="00DA5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62A20"/>
  <w15:chartTrackingRefBased/>
  <w15:docId w15:val="{083470BE-003B-4D90-8AA8-96B47EA1A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920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920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920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20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207A"/>
  </w:style>
  <w:style w:type="paragraph" w:styleId="Piedepgina">
    <w:name w:val="footer"/>
    <w:basedOn w:val="Normal"/>
    <w:link w:val="PiedepginaCar"/>
    <w:uiPriority w:val="99"/>
    <w:unhideWhenUsed/>
    <w:rsid w:val="002920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207A"/>
  </w:style>
  <w:style w:type="character" w:customStyle="1" w:styleId="Ttulo1Car">
    <w:name w:val="Título 1 Car"/>
    <w:basedOn w:val="Fuentedeprrafopredeter"/>
    <w:link w:val="Ttulo1"/>
    <w:uiPriority w:val="9"/>
    <w:rsid w:val="0029207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920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29207A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29207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083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6542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17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2209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40196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5062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9849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19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33667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434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5791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76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3011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2092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5879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1" i="0" u="none" strike="noStrike" kern="1200" cap="none" spc="2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AR" sz="1200" b="1"/>
              <a:t>Ejecución de proyectos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cap="none" spc="2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s-A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Exitosos</c:v>
          </c:tx>
          <c:spPr>
            <a:solidFill>
              <a:srgbClr val="92D050"/>
            </a:solidFill>
            <a:ln w="9525" cap="flat" cmpd="sng" algn="ctr">
              <a:solidFill>
                <a:schemeClr val="bg1">
                  <a:lumMod val="75000"/>
                  <a:lumOff val="25000"/>
                </a:schemeClr>
              </a:solidFill>
              <a:round/>
            </a:ln>
            <a:effectLst/>
          </c:spPr>
          <c:invertIfNegative val="0"/>
          <c:cat>
            <c:numRef>
              <c:f>Hoja1!$A$1:$J$1</c:f>
              <c:numCache>
                <c:formatCode>General</c:formatCode>
                <c:ptCount val="10"/>
                <c:pt idx="0">
                  <c:v>1994</c:v>
                </c:pt>
                <c:pt idx="1">
                  <c:v>1996</c:v>
                </c:pt>
                <c:pt idx="2">
                  <c:v>1998</c:v>
                </c:pt>
                <c:pt idx="3">
                  <c:v>2000</c:v>
                </c:pt>
                <c:pt idx="4">
                  <c:v>2002</c:v>
                </c:pt>
                <c:pt idx="5">
                  <c:v>2004</c:v>
                </c:pt>
                <c:pt idx="6">
                  <c:v>2006</c:v>
                </c:pt>
                <c:pt idx="7">
                  <c:v>2008</c:v>
                </c:pt>
                <c:pt idx="8">
                  <c:v>2010</c:v>
                </c:pt>
                <c:pt idx="9">
                  <c:v>2012</c:v>
                </c:pt>
              </c:numCache>
            </c:numRef>
          </c:cat>
          <c:val>
            <c:numRef>
              <c:f>Hoja1!$A$2:$J$2</c:f>
              <c:numCache>
                <c:formatCode>General</c:formatCode>
                <c:ptCount val="10"/>
                <c:pt idx="0">
                  <c:v>16</c:v>
                </c:pt>
                <c:pt idx="1">
                  <c:v>27</c:v>
                </c:pt>
                <c:pt idx="2">
                  <c:v>26</c:v>
                </c:pt>
                <c:pt idx="3">
                  <c:v>28</c:v>
                </c:pt>
                <c:pt idx="4">
                  <c:v>34</c:v>
                </c:pt>
                <c:pt idx="5">
                  <c:v>29</c:v>
                </c:pt>
                <c:pt idx="6">
                  <c:v>35</c:v>
                </c:pt>
                <c:pt idx="7">
                  <c:v>32</c:v>
                </c:pt>
                <c:pt idx="8">
                  <c:v>37</c:v>
                </c:pt>
                <c:pt idx="9">
                  <c:v>39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088-424A-A48A-183FBD8C9A31}"/>
            </c:ext>
          </c:extLst>
        </c:ser>
        <c:ser>
          <c:idx val="1"/>
          <c:order val="1"/>
          <c:tx>
            <c:v>Deficientes</c:v>
          </c:tx>
          <c:spPr>
            <a:solidFill>
              <a:srgbClr val="FFFF00"/>
            </a:solidFill>
            <a:ln w="9525" cap="flat" cmpd="sng" algn="ctr">
              <a:solidFill>
                <a:schemeClr val="bg1">
                  <a:lumMod val="75000"/>
                  <a:lumOff val="25000"/>
                </a:schemeClr>
              </a:solidFill>
              <a:round/>
            </a:ln>
            <a:effectLst/>
          </c:spPr>
          <c:invertIfNegative val="0"/>
          <c:cat>
            <c:numRef>
              <c:f>Hoja1!$A$1:$J$1</c:f>
              <c:numCache>
                <c:formatCode>General</c:formatCode>
                <c:ptCount val="10"/>
                <c:pt idx="0">
                  <c:v>1994</c:v>
                </c:pt>
                <c:pt idx="1">
                  <c:v>1996</c:v>
                </c:pt>
                <c:pt idx="2">
                  <c:v>1998</c:v>
                </c:pt>
                <c:pt idx="3">
                  <c:v>2000</c:v>
                </c:pt>
                <c:pt idx="4">
                  <c:v>2002</c:v>
                </c:pt>
                <c:pt idx="5">
                  <c:v>2004</c:v>
                </c:pt>
                <c:pt idx="6">
                  <c:v>2006</c:v>
                </c:pt>
                <c:pt idx="7">
                  <c:v>2008</c:v>
                </c:pt>
                <c:pt idx="8">
                  <c:v>2010</c:v>
                </c:pt>
                <c:pt idx="9">
                  <c:v>2012</c:v>
                </c:pt>
              </c:numCache>
            </c:numRef>
          </c:cat>
          <c:val>
            <c:numRef>
              <c:f>Hoja1!$A$3:$J$3</c:f>
              <c:numCache>
                <c:formatCode>General</c:formatCode>
                <c:ptCount val="10"/>
                <c:pt idx="0">
                  <c:v>53</c:v>
                </c:pt>
                <c:pt idx="1">
                  <c:v>33</c:v>
                </c:pt>
                <c:pt idx="2">
                  <c:v>46</c:v>
                </c:pt>
                <c:pt idx="3">
                  <c:v>49</c:v>
                </c:pt>
                <c:pt idx="4">
                  <c:v>51</c:v>
                </c:pt>
                <c:pt idx="5">
                  <c:v>53</c:v>
                </c:pt>
                <c:pt idx="6">
                  <c:v>46</c:v>
                </c:pt>
                <c:pt idx="7">
                  <c:v>44</c:v>
                </c:pt>
                <c:pt idx="8">
                  <c:v>42</c:v>
                </c:pt>
                <c:pt idx="9">
                  <c:v>43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088-424A-A48A-183FBD8C9A31}"/>
            </c:ext>
          </c:extLst>
        </c:ser>
        <c:ser>
          <c:idx val="2"/>
          <c:order val="2"/>
          <c:tx>
            <c:v>Fallidos</c:v>
          </c:tx>
          <c:spPr>
            <a:solidFill>
              <a:srgbClr val="FF0000"/>
            </a:solidFill>
            <a:ln w="9525" cap="flat" cmpd="sng" algn="ctr">
              <a:solidFill>
                <a:schemeClr val="bg1">
                  <a:lumMod val="75000"/>
                  <a:lumOff val="25000"/>
                </a:schemeClr>
              </a:solidFill>
              <a:round/>
            </a:ln>
            <a:effectLst/>
          </c:spPr>
          <c:invertIfNegative val="0"/>
          <c:cat>
            <c:numRef>
              <c:f>Hoja1!$A$1:$J$1</c:f>
              <c:numCache>
                <c:formatCode>General</c:formatCode>
                <c:ptCount val="10"/>
                <c:pt idx="0">
                  <c:v>1994</c:v>
                </c:pt>
                <c:pt idx="1">
                  <c:v>1996</c:v>
                </c:pt>
                <c:pt idx="2">
                  <c:v>1998</c:v>
                </c:pt>
                <c:pt idx="3">
                  <c:v>2000</c:v>
                </c:pt>
                <c:pt idx="4">
                  <c:v>2002</c:v>
                </c:pt>
                <c:pt idx="5">
                  <c:v>2004</c:v>
                </c:pt>
                <c:pt idx="6">
                  <c:v>2006</c:v>
                </c:pt>
                <c:pt idx="7">
                  <c:v>2008</c:v>
                </c:pt>
                <c:pt idx="8">
                  <c:v>2010</c:v>
                </c:pt>
                <c:pt idx="9">
                  <c:v>2012</c:v>
                </c:pt>
              </c:numCache>
            </c:numRef>
          </c:cat>
          <c:val>
            <c:numRef>
              <c:f>Hoja1!$A$4:$J$4</c:f>
              <c:numCache>
                <c:formatCode>General</c:formatCode>
                <c:ptCount val="10"/>
                <c:pt idx="0">
                  <c:v>31</c:v>
                </c:pt>
                <c:pt idx="1">
                  <c:v>40</c:v>
                </c:pt>
                <c:pt idx="2">
                  <c:v>28</c:v>
                </c:pt>
                <c:pt idx="3">
                  <c:v>23</c:v>
                </c:pt>
                <c:pt idx="4">
                  <c:v>15</c:v>
                </c:pt>
                <c:pt idx="5">
                  <c:v>18</c:v>
                </c:pt>
                <c:pt idx="6">
                  <c:v>19</c:v>
                </c:pt>
                <c:pt idx="7">
                  <c:v>24</c:v>
                </c:pt>
                <c:pt idx="8">
                  <c:v>21</c:v>
                </c:pt>
                <c:pt idx="9">
                  <c:v>18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7088-424A-A48A-183FBD8C9A3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-2103404736"/>
        <c:axId val="-2103397120"/>
      </c:barChart>
      <c:catAx>
        <c:axId val="-210340473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AR"/>
                  <a:t>Años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A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-2103397120"/>
        <c:crosses val="autoZero"/>
        <c:auto val="1"/>
        <c:lblAlgn val="ctr"/>
        <c:lblOffset val="100"/>
        <c:noMultiLvlLbl val="0"/>
      </c:catAx>
      <c:valAx>
        <c:axId val="-2103397120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AR"/>
                  <a:t>Porcentajes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A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-21034047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2175442791873238"/>
          <c:y val="0.85768710729340647"/>
          <c:w val="0.6015992643776672"/>
          <c:h val="6.649781628518852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300" b="0" i="0" u="none" strike="noStrike" kern="120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s-A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A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6">
  <cs:axisTitle>
    <cs:lnRef idx="0"/>
    <cs:fillRef idx="0"/>
    <cs:effectRef idx="0"/>
    <cs:fontRef idx="minor">
      <a:schemeClr val="tx1">
        <a:lumMod val="50000"/>
        <a:lumOff val="50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158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4"/>
  <cs:dataPointWirefram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50000"/>
        <a:lumOff val="50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231</Words>
  <Characters>1273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 Gauchat</dc:creator>
  <cp:keywords/>
  <dc:description/>
  <cp:lastModifiedBy>Wendy Sclerandi</cp:lastModifiedBy>
  <cp:revision>6</cp:revision>
  <dcterms:created xsi:type="dcterms:W3CDTF">2016-09-28T00:22:00Z</dcterms:created>
  <dcterms:modified xsi:type="dcterms:W3CDTF">2016-10-11T04:03:00Z</dcterms:modified>
</cp:coreProperties>
</file>