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A97" w:rsidRPr="00F16A97" w:rsidRDefault="00F16A97" w:rsidP="00F16A97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es-AR"/>
        </w:rPr>
      </w:pPr>
      <w:r w:rsidRPr="00F16A97">
        <w:rPr>
          <w:rFonts w:ascii="Arial" w:eastAsia="Times New Roman" w:hAnsi="Arial" w:cs="Arial"/>
          <w:color w:val="333333"/>
          <w:kern w:val="36"/>
          <w:sz w:val="36"/>
          <w:szCs w:val="36"/>
          <w:lang w:eastAsia="es-AR"/>
        </w:rPr>
        <w:t>Búsqueda Dota</w:t>
      </w:r>
    </w:p>
    <w:p w:rsidR="00F16A97" w:rsidRPr="00F16A97" w:rsidRDefault="00F16A97" w:rsidP="00F16A97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F16A9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Esta es una versión muy simplificada del juego Dota. En esta versión, el mapa es un tablero de 3x3, participa un solo jugador, y tiene como objetivos derrotar a un héroe enemigo y destruir su base en la menor cantidad de acciones posibles. El jugador comienza en la esquina inferior izquierda del mapa, y en cada turno puede moverse a los casilleros limítrofes (no en diagonal). Si se encuentra adyacente a un casillero de un enemigo o edificio, también tiene disponible la acción de atacar a dicho objeto, destruyéndolo como resultado. Dos objetos no pueden estar en la misma posición.</w:t>
      </w:r>
    </w:p>
    <w:p w:rsidR="00F16A97" w:rsidRPr="00F16A97" w:rsidRDefault="00F16A97" w:rsidP="00F16A97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F16A9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Al inicio del juego, el mapa y la distribución de objetos es la siguiente:</w:t>
      </w:r>
    </w:p>
    <w:tbl>
      <w:tblPr>
        <w:tblW w:w="963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3411"/>
        <w:gridCol w:w="3109"/>
      </w:tblGrid>
      <w:tr w:rsidR="00F16A97" w:rsidRPr="00F16A97" w:rsidTr="00F16A97">
        <w:tc>
          <w:tcPr>
            <w:tcW w:w="3111" w:type="dxa"/>
            <w:tcBorders>
              <w:top w:val="single" w:sz="6" w:space="0" w:color="CCCCCC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6A97" w:rsidRPr="00F16A97" w:rsidRDefault="00F16A97" w:rsidP="00F16A9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16A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 </w:t>
            </w:r>
          </w:p>
        </w:tc>
        <w:tc>
          <w:tcPr>
            <w:tcW w:w="3411" w:type="dxa"/>
            <w:tcBorders>
              <w:top w:val="single" w:sz="6" w:space="0" w:color="CCCCCC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6A97" w:rsidRPr="00F16A97" w:rsidRDefault="00F16A97" w:rsidP="00F16A9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16A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 </w:t>
            </w:r>
          </w:p>
        </w:tc>
        <w:tc>
          <w:tcPr>
            <w:tcW w:w="3109" w:type="dxa"/>
            <w:tcBorders>
              <w:top w:val="single" w:sz="6" w:space="0" w:color="CCCCCC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6A97" w:rsidRPr="00F16A97" w:rsidRDefault="00F16A97" w:rsidP="00F16A9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16A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Be</w:t>
            </w:r>
          </w:p>
        </w:tc>
      </w:tr>
      <w:tr w:rsidR="00F16A97" w:rsidRPr="00F16A97" w:rsidTr="00F16A97"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6A97" w:rsidRPr="00F16A97" w:rsidRDefault="00F16A97" w:rsidP="00F16A9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16A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 </w:t>
            </w:r>
          </w:p>
        </w:tc>
        <w:tc>
          <w:tcPr>
            <w:tcW w:w="3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6A97" w:rsidRPr="00F16A97" w:rsidRDefault="00F16A97" w:rsidP="00F16A9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16A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He</w:t>
            </w:r>
          </w:p>
        </w:tc>
        <w:tc>
          <w:tcPr>
            <w:tcW w:w="3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6A97" w:rsidRPr="00F16A97" w:rsidRDefault="00F16A97" w:rsidP="00F16A9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16A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 </w:t>
            </w:r>
          </w:p>
        </w:tc>
      </w:tr>
      <w:tr w:rsidR="00F16A97" w:rsidRPr="00F16A97" w:rsidTr="00F16A97"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6A97" w:rsidRPr="00F16A97" w:rsidRDefault="00F16A97" w:rsidP="00F16A9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16A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H</w:t>
            </w:r>
          </w:p>
        </w:tc>
        <w:tc>
          <w:tcPr>
            <w:tcW w:w="3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6A97" w:rsidRPr="00F16A97" w:rsidRDefault="00F16A97" w:rsidP="00F16A9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16A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 </w:t>
            </w:r>
          </w:p>
        </w:tc>
        <w:tc>
          <w:tcPr>
            <w:tcW w:w="3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6A97" w:rsidRPr="00F16A97" w:rsidRDefault="00F16A97" w:rsidP="00F16A9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16A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 </w:t>
            </w:r>
          </w:p>
        </w:tc>
      </w:tr>
    </w:tbl>
    <w:p w:rsidR="00F16A97" w:rsidRPr="00F16A97" w:rsidRDefault="00F16A97" w:rsidP="00F16A97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F16A9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H = Héroe (jugador), He = Héroe enemigo, Be = Base enemiga</w:t>
      </w:r>
    </w:p>
    <w:p w:rsidR="00F16A97" w:rsidRPr="00F16A97" w:rsidRDefault="00F16A97" w:rsidP="00F16A97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F16A9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Ejemplo de acciones disponibles:</w:t>
      </w:r>
    </w:p>
    <w:tbl>
      <w:tblPr>
        <w:tblW w:w="963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3402"/>
        <w:gridCol w:w="3118"/>
      </w:tblGrid>
      <w:tr w:rsidR="00F16A97" w:rsidRPr="00F16A97" w:rsidTr="00F16A97">
        <w:tc>
          <w:tcPr>
            <w:tcW w:w="3111" w:type="dxa"/>
            <w:tcBorders>
              <w:top w:val="single" w:sz="6" w:space="0" w:color="CCCCCC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6A97" w:rsidRPr="00F16A97" w:rsidRDefault="00F16A97" w:rsidP="00F16A9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16A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 </w:t>
            </w:r>
          </w:p>
        </w:tc>
        <w:tc>
          <w:tcPr>
            <w:tcW w:w="3402" w:type="dxa"/>
            <w:tcBorders>
              <w:top w:val="single" w:sz="6" w:space="0" w:color="CCCCCC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6A97" w:rsidRPr="00F16A97" w:rsidRDefault="00F16A97" w:rsidP="00F16A9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16A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 </w:t>
            </w:r>
          </w:p>
        </w:tc>
        <w:tc>
          <w:tcPr>
            <w:tcW w:w="3118" w:type="dxa"/>
            <w:tcBorders>
              <w:top w:val="single" w:sz="6" w:space="0" w:color="CCCCCC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6A97" w:rsidRPr="00F16A97" w:rsidRDefault="00F16A97" w:rsidP="00F16A9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16A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Be</w:t>
            </w:r>
          </w:p>
        </w:tc>
      </w:tr>
      <w:tr w:rsidR="00F16A97" w:rsidRPr="00F16A97" w:rsidTr="00F16A97"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6A97" w:rsidRPr="00F16A97" w:rsidRDefault="00F16A97" w:rsidP="00F16A9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16A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H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6A97" w:rsidRPr="00F16A97" w:rsidRDefault="00F16A97" w:rsidP="00F16A9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16A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He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6A97" w:rsidRPr="00F16A97" w:rsidRDefault="00F16A97" w:rsidP="00F16A9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16A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 </w:t>
            </w:r>
          </w:p>
        </w:tc>
      </w:tr>
      <w:tr w:rsidR="00F16A97" w:rsidRPr="00F16A97" w:rsidTr="00F16A97"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6A97" w:rsidRPr="00F16A97" w:rsidRDefault="00F16A97" w:rsidP="00F16A9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16A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 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6A97" w:rsidRPr="00F16A97" w:rsidRDefault="00F16A97" w:rsidP="00F16A9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16A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 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6A97" w:rsidRPr="00F16A97" w:rsidRDefault="00F16A97" w:rsidP="00F16A9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16A9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 </w:t>
            </w:r>
          </w:p>
        </w:tc>
      </w:tr>
    </w:tbl>
    <w:p w:rsidR="00F16A97" w:rsidRPr="00F16A97" w:rsidRDefault="00F16A97" w:rsidP="00F16A97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F16A9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En este estado, el héroe está junto al héroe enemigo. En esta situación puede moverse en dos direcciones o atacar a He. Si ataca, en el estado resultante el héroe enemigo estaría muerto.</w:t>
      </w:r>
    </w:p>
    <w:p w:rsidR="008A1100" w:rsidRDefault="008A1100">
      <w:bookmarkStart w:id="0" w:name="_GoBack"/>
      <w:bookmarkEnd w:id="0"/>
    </w:p>
    <w:sectPr w:rsidR="008A1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A97"/>
    <w:rsid w:val="008A1100"/>
    <w:rsid w:val="00F1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9D73F6-518C-4669-8E73-46F4A5E3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16A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6A9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F16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848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Sclerandi</dc:creator>
  <cp:keywords/>
  <dc:description/>
  <cp:lastModifiedBy>Wendy Sclerandi</cp:lastModifiedBy>
  <cp:revision>1</cp:revision>
  <dcterms:created xsi:type="dcterms:W3CDTF">2016-09-27T03:06:00Z</dcterms:created>
  <dcterms:modified xsi:type="dcterms:W3CDTF">2016-09-27T03:07:00Z</dcterms:modified>
</cp:coreProperties>
</file>