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20"/>
        <w:jc w:val="center"/>
      </w:pPr>
      <w:r>
        <w:rPr>
          <w:rFonts w:ascii="Arial" w:hAnsi="Arial" w:eastAsia="Arial" w:cs="Arial"/>
          <w:b/>
          <w:i w:val="0"/>
          <w:color w:val="2E5A88"/>
          <w:sz w:val="60"/>
        </w:rPr>
        <w:t>LOGISTICS DATABASE</w:t>
      </w:r>
    </w:p>
    <w:p>
      <w:pPr>
        <w:spacing w:after="480"/>
        <w:jc w:val="center"/>
      </w:pPr>
      <w:r>
        <w:rPr>
          <w:rFonts w:ascii="Arial" w:hAnsi="Arial" w:eastAsia="Arial" w:cs="Arial"/>
          <w:b/>
          <w:i w:val="0"/>
          <w:color w:val="C0504D"/>
          <w:sz w:val="44"/>
        </w:rPr>
        <w:t>Data Analysis Report</w:t>
      </w:r>
    </w:p>
    <w:p>
      <w:pPr>
        <w:spacing w:after="360"/>
        <w:jc w:val="center"/>
        <w:pBdr>
          <w:bottom w:val="single" w:sz="12" w:space="1" w:color="2E5A88"/>
        </w:pBdr>
      </w:pPr>
    </w:p>
    <w:p>
      <w:pPr>
        <w:spacing w:after="720"/>
        <w:jc w:val="center"/>
      </w:pPr>
      <w:r>
        <w:rPr>
          <w:rFonts w:ascii="Arial" w:hAnsi="Arial" w:eastAsia="Arial" w:cs="Arial"/>
          <w:b w:val="0"/>
          <w:i/>
          <w:color w:val="555555"/>
          <w:sz w:val="26"/>
        </w:rPr>
        <w:t>Operational Performance, Fuel Efficiency &amp; Safety Risk (2022-2024)</w:t>
      </w:r>
    </w:p>
    <w:p>
      <w:pPr>
        <w:spacing w:after="80"/>
        <w:jc w:val="center"/>
      </w:pPr>
      <w:r>
        <w:rPr>
          <w:rFonts w:ascii="Arial" w:hAnsi="Arial" w:eastAsia="Arial" w:cs="Arial"/>
          <w:b/>
          <w:i w:val="0"/>
          <w:color w:val="333333"/>
          <w:sz w:val="22"/>
        </w:rPr>
        <w:t xml:space="preserve">Reporting Period: </w:t>
      </w:r>
      <w:r>
        <w:rPr>
          <w:rFonts w:ascii="Arial" w:hAnsi="Arial" w:eastAsia="Arial" w:cs="Arial"/>
          <w:b w:val="0"/>
          <w:i w:val="0"/>
          <w:color w:val="333333"/>
          <w:sz w:val="22"/>
        </w:rPr>
        <w:t>January 2022 – December 2024 (36 months)</w:t>
      </w:r>
    </w:p>
    <w:p>
      <w:pPr>
        <w:spacing w:after="80"/>
        <w:jc w:val="center"/>
      </w:pPr>
      <w:r>
        <w:rPr>
          <w:rFonts w:ascii="Arial" w:hAnsi="Arial" w:eastAsia="Arial" w:cs="Arial"/>
          <w:b/>
          <w:i w:val="0"/>
          <w:color w:val="333333"/>
          <w:sz w:val="22"/>
        </w:rPr>
        <w:t xml:space="preserve">Data Sources: </w:t>
      </w:r>
      <w:r>
        <w:rPr>
          <w:rFonts w:ascii="Arial" w:hAnsi="Arial" w:eastAsia="Arial" w:cs="Arial"/>
          <w:b w:val="0"/>
          <w:i w:val="0"/>
          <w:color w:val="333333"/>
          <w:sz w:val="22"/>
        </w:rPr>
        <w:t>trips.csv (85,410 rows), trailers.csv (180 rows), safety_incidents.csv (170 rows)</w:t>
      </w:r>
    </w:p>
    <w:p>
      <w:pPr>
        <w:spacing w:after="80"/>
        <w:jc w:val="center"/>
      </w:pPr>
      <w:r>
        <w:rPr>
          <w:rFonts w:ascii="Arial" w:hAnsi="Arial" w:eastAsia="Arial" w:cs="Arial"/>
          <w:b/>
          <w:i w:val="0"/>
          <w:color w:val="333333"/>
          <w:sz w:val="22"/>
        </w:rPr>
        <w:t xml:space="preserve">Database Engine: </w:t>
      </w:r>
      <w:r>
        <w:rPr>
          <w:rFonts w:ascii="Arial" w:hAnsi="Arial" w:eastAsia="Arial" w:cs="Arial"/>
          <w:b w:val="0"/>
          <w:i w:val="0"/>
          <w:color w:val="333333"/>
          <w:sz w:val="22"/>
        </w:rPr>
        <w:t>SQLite 3.53</w:t>
      </w:r>
    </w:p>
    <w:p>
      <w:pPr>
        <w:spacing w:after="80"/>
        <w:jc w:val="center"/>
      </w:pPr>
      <w:r>
        <w:rPr>
          <w:rFonts w:ascii="Arial" w:hAnsi="Arial" w:eastAsia="Arial" w:cs="Arial"/>
          <w:b/>
          <w:i w:val="0"/>
          <w:color w:val="333333"/>
          <w:sz w:val="22"/>
        </w:rPr>
        <w:t xml:space="preserve">Report Date: </w:t>
      </w:r>
      <w:r>
        <w:rPr>
          <w:rFonts w:ascii="Arial" w:hAnsi="Arial" w:eastAsia="Arial" w:cs="Arial"/>
          <w:b w:val="0"/>
          <w:i w:val="0"/>
          <w:color w:val="333333"/>
          <w:sz w:val="22"/>
        </w:rPr>
        <w:t>July 12, 2026</w:t>
      </w:r>
    </w:p>
    <w:p>
      <w:pPr>
        <w:spacing w:after="80"/>
        <w:jc w:val="center"/>
      </w:pPr>
      <w:r>
        <w:rPr>
          <w:rFonts w:ascii="Arial" w:hAnsi="Arial" w:eastAsia="Arial" w:cs="Arial"/>
          <w:b/>
          <w:i w:val="0"/>
          <w:color w:val="333333"/>
          <w:sz w:val="22"/>
        </w:rPr>
        <w:t xml:space="preserve">Prepared By: </w:t>
      </w:r>
      <w:r>
        <w:rPr>
          <w:rFonts w:ascii="Arial" w:hAnsi="Arial" w:eastAsia="Arial" w:cs="Arial"/>
          <w:b w:val="0"/>
          <w:i w:val="0"/>
          <w:color w:val="333333"/>
          <w:sz w:val="22"/>
        </w:rPr>
        <w:t>Data Analytics Team</w:t>
      </w:r>
    </w:p>
    <w:p>
      <w:pPr>
        <w:sectPr>
          <w:pgSz w:w="11906" w:h="16838"/>
          <w:pgMar w:top="1417" w:right="1134" w:bottom="1417" w:left="1134" w:header="720" w:footer="720" w:gutter="0"/>
          <w:cols w:space="720"/>
          <w:docGrid w:linePitch="360"/>
        </w:sectPr>
      </w:pPr>
    </w:p>
    <w:p>
      <w:pPr>
        <w:pStyle w:val="Heading1"/>
        <w:keepNext/>
        <w:spacing w:before="280" w:after="120"/>
      </w:pPr>
      <w:r>
        <w:rPr>
          <w:rFonts w:ascii="Arial" w:hAnsi="Arial" w:eastAsia="Arial" w:cs="Arial"/>
          <w:b/>
          <w:i w:val="0"/>
          <w:color w:val="2E5A88"/>
          <w:sz w:val="32"/>
        </w:rPr>
        <w:t>Table of Contents</w:t>
      </w:r>
    </w:p>
    <w:p>
      <w:r>
        <w:rPr>
          <w:rFonts w:ascii="Arial" w:hAnsi="Arial" w:eastAsia="Arial" w:cs="Arial"/>
          <w:b w:val="0"/>
          <w:i/>
          <w:color w:val="808080"/>
          <w:sz w:val="20"/>
        </w:rPr>
        <w:fldChar w:fldCharType="begin"/>
        <w:instrText xml:space="preserve">TOC \o "1-3" \h \z \u</w:instrText>
        <w:fldChar w:fldCharType="separate"/>
        <w:t>Right-click and select 'Update Field' to generate the Table of Contents.</w:t>
        <w:fldChar w:fldCharType="end"/>
      </w:r>
    </w:p>
    <w:p>
      <w:pPr>
        <w:spacing w:before="160"/>
      </w:pPr>
      <w:r>
        <w:rPr>
          <w:rFonts w:ascii="Arial" w:hAnsi="Arial" w:eastAsia="Arial" w:cs="Arial"/>
          <w:b w:val="0"/>
          <w:i/>
          <w:color w:val="808080"/>
          <w:sz w:val="19"/>
        </w:rPr>
        <w:t>Note: The Table of Contents above is generated automatically by Word. If it shows placeholder text, right-click anywhere inside it and choose "Update Field" → "Update entire table".</w:t>
      </w:r>
    </w:p>
    <w:p>
      <w:r>
        <w:br w:type="page"/>
      </w:r>
    </w:p>
    <w:p>
      <w:pPr>
        <w:pStyle w:val="Heading1"/>
        <w:keepNext/>
        <w:spacing w:before="280" w:after="120"/>
      </w:pPr>
      <w:r>
        <w:rPr>
          <w:rFonts w:ascii="Arial" w:hAnsi="Arial" w:eastAsia="Arial" w:cs="Arial"/>
          <w:b/>
          <w:i w:val="0"/>
          <w:color w:val="2E5A88"/>
          <w:sz w:val="32"/>
        </w:rPr>
        <w:t>1. Executive Summary</w:t>
      </w:r>
    </w:p>
    <w:p>
      <w:pPr>
        <w:spacing w:after="120" w:before="0" w:line="312" w:lineRule="auto"/>
        <w:ind w:firstLine="0"/>
      </w:pPr>
      <w:r>
        <w:rPr>
          <w:rFonts w:ascii="Arial" w:hAnsi="Arial" w:eastAsia="Arial" w:cs="Arial"/>
          <w:b w:val="0"/>
          <w:i w:val="0"/>
          <w:sz w:val="22"/>
        </w:rPr>
        <w:t>This report presents a comprehensive analysis of three years (2022-2024) of logistics operational data drawn from the company's trips, trailers, and safety-incident tables. The dataset comprises 85,410 dispatched trips covering approximately 122,159,201 total miles, 180 active trailers, and 170 recorded safety incidents. The analysis follows a structured seven-step workflow covering scope definition, data quality, core performance, comparisons, attribution, recommendations, and uncertainty.</w:t>
      </w:r>
    </w:p>
    <w:p>
      <w:pPr>
        <w:spacing w:after="120" w:before="0" w:line="312" w:lineRule="auto"/>
        <w:ind w:firstLine="0"/>
      </w:pPr>
      <w:r>
        <w:rPr>
          <w:rFonts w:ascii="Arial" w:hAnsi="Arial" w:eastAsia="Arial" w:cs="Arial"/>
          <w:b w:val="0"/>
          <w:i w:val="0"/>
          <w:sz w:val="22"/>
        </w:rPr>
        <w:t>The fleet maintained remarkably stable operations across the three-year window: trip volume stayed within a narrow band (28,589 to 28,656 trips per year, ±2%), average distance per trip held at 1,430 miles, and average fuel efficiency remained effectively flat at 6.50 MPG. This stability reflects a mature, demand-constrained operation with well-established routes and capacity utilization. However, the absence of MPG improvement over three years also suggests that fuel-efficiency initiatives have not yet gained traction, leaving a meaningful cost-reduction opportunity on the table.</w:t>
      </w:r>
    </w:p>
    <w:p>
      <w:pPr>
        <w:spacing w:after="120" w:before="0" w:line="312" w:lineRule="auto"/>
        <w:ind w:firstLine="0"/>
      </w:pPr>
      <w:r>
        <w:rPr>
          <w:rFonts w:ascii="Arial" w:hAnsi="Arial" w:eastAsia="Arial" w:cs="Arial"/>
          <w:b w:val="0"/>
          <w:i w:val="0"/>
          <w:sz w:val="22"/>
        </w:rPr>
        <w:t>On the safety dimension, the picture is more concerning. The incident rate per 1,000 trips rose from 1.96 in 2022 to 2.09 in 2024, a cumulative increase of +6.6%. Total claim exposure across the period exceeded $3M, with three cities (Chicago, Seattle, Memphis) concentrating a disproportionate share. Preventable incidents — those directly addressable through driver behavior and coaching — account for roughly one-third of claim dollars and represent the most actionable lever for near-term risk reduction.</w:t>
      </w:r>
    </w:p>
    <w:p>
      <w:pPr>
        <w:spacing w:after="120" w:before="0" w:line="312" w:lineRule="auto"/>
        <w:ind w:firstLine="0"/>
      </w:pPr>
      <w:r>
        <w:rPr>
          <w:rFonts w:ascii="Arial" w:hAnsi="Arial" w:eastAsia="Arial" w:cs="Arial"/>
          <w:b w:val="0"/>
          <w:i w:val="0"/>
          <w:sz w:val="22"/>
        </w:rPr>
        <w:t>A material data-quality issue was also uncovered: approximately 2% of trips (1,680 records) have no trailer_id assigned in the source system, preventing trailer-level utilization, depreciation, and cost attribution for those trips. Closing this gap is a high-priority operational and analytics recommendation. The five recommendations in Section 7 prioritize actions by impact and feasibility, and each includes validation criteria so that progress can be tracked objectively.</w:t>
      </w:r>
    </w:p>
    <w:p>
      <w:pPr>
        <w:pStyle w:val="Heading2"/>
        <w:keepNext/>
        <w:spacing w:before="200" w:after="120"/>
      </w:pPr>
      <w:r>
        <w:rPr>
          <w:rFonts w:ascii="Arial" w:hAnsi="Arial" w:eastAsia="Arial" w:cs="Arial"/>
          <w:b/>
          <w:i w:val="0"/>
          <w:color w:val="2E5A88"/>
          <w:sz w:val="26"/>
        </w:rPr>
        <w:t>Key Findings at a Glance</w:t>
      </w:r>
    </w:p>
    <w:p>
      <w:pPr>
        <w:spacing w:after="80" w:before="160"/>
        <w:jc w:val="center"/>
      </w:pPr>
      <w:r>
        <w:rPr>
          <w:rFonts w:ascii="Arial" w:hAnsi="Arial" w:eastAsia="Arial" w:cs="Arial"/>
          <w:b w:val="0"/>
          <w:i/>
          <w:color w:val="555555"/>
          <w:sz w:val="19"/>
        </w:rPr>
        <w:t>Table 1-1: Headline operational and safety metrics, 2022-2024.</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Metric</w:t>
            </w:r>
          </w:p>
        </w:tc>
        <w:tc>
          <w:tcPr>
            <w:tcW w:type="dxa" w:w="1928"/>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2022</w:t>
            </w:r>
          </w:p>
        </w:tc>
        <w:tc>
          <w:tcPr>
            <w:tcW w:type="dxa" w:w="1928"/>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2023</w:t>
            </w:r>
          </w:p>
        </w:tc>
        <w:tc>
          <w:tcPr>
            <w:tcW w:type="dxa" w:w="1928"/>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2024</w:t>
            </w:r>
          </w:p>
        </w:tc>
        <w:tc>
          <w:tcPr>
            <w:tcW w:type="dxa" w:w="1928"/>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3-Year Total / Avg</w:t>
            </w:r>
          </w:p>
        </w:tc>
      </w:tr>
      <w:tr>
        <w:tc>
          <w:tcPr>
            <w:tcW w:type="dxa" w:w="1928"/>
            <w:tcMar>
              <w:top w:w="80" w:type="dxa"/>
              <w:bottom w:w="80" w:type="dxa"/>
              <w:left w:w="120" w:type="dxa"/>
              <w:right w:w="120" w:type="dxa"/>
            </w:tcMar>
          </w:tcPr>
          <w:p>
            <w:pPr>
              <w:jc w:val="left"/>
            </w:pPr>
            <w:r/>
            <w:r>
              <w:rPr>
                <w:rFonts w:ascii="Arial" w:hAnsi="Arial" w:eastAsia="Arial" w:cs="Arial"/>
                <w:b w:val="0"/>
                <w:i w:val="0"/>
                <w:sz w:val="20"/>
              </w:rPr>
              <w:t>Trips</w:t>
            </w:r>
          </w:p>
        </w:tc>
        <w:tc>
          <w:tcPr>
            <w:tcW w:type="dxa" w:w="1928"/>
            <w:tcMar>
              <w:top w:w="80" w:type="dxa"/>
              <w:bottom w:w="80" w:type="dxa"/>
              <w:left w:w="120" w:type="dxa"/>
              <w:right w:w="120" w:type="dxa"/>
            </w:tcMar>
          </w:tcPr>
          <w:p>
            <w:pPr>
              <w:jc w:val="left"/>
            </w:pPr>
            <w:r/>
            <w:r>
              <w:rPr>
                <w:rFonts w:ascii="Arial" w:hAnsi="Arial" w:eastAsia="Arial" w:cs="Arial"/>
                <w:b w:val="0"/>
                <w:i w:val="0"/>
                <w:sz w:val="20"/>
              </w:rPr>
              <w:t>28,589</w:t>
            </w:r>
          </w:p>
        </w:tc>
        <w:tc>
          <w:tcPr>
            <w:tcW w:type="dxa" w:w="1928"/>
            <w:tcMar>
              <w:top w:w="80" w:type="dxa"/>
              <w:bottom w:w="80" w:type="dxa"/>
              <w:left w:w="120" w:type="dxa"/>
              <w:right w:w="120" w:type="dxa"/>
            </w:tcMar>
          </w:tcPr>
          <w:p>
            <w:pPr>
              <w:jc w:val="left"/>
            </w:pPr>
            <w:r/>
            <w:r>
              <w:rPr>
                <w:rFonts w:ascii="Arial" w:hAnsi="Arial" w:eastAsia="Arial" w:cs="Arial"/>
                <w:b w:val="0"/>
                <w:i w:val="0"/>
                <w:sz w:val="20"/>
              </w:rPr>
              <w:t>28,165</w:t>
            </w:r>
          </w:p>
        </w:tc>
        <w:tc>
          <w:tcPr>
            <w:tcW w:type="dxa" w:w="1928"/>
            <w:tcMar>
              <w:top w:w="80" w:type="dxa"/>
              <w:bottom w:w="80" w:type="dxa"/>
              <w:left w:w="120" w:type="dxa"/>
              <w:right w:w="120" w:type="dxa"/>
            </w:tcMar>
          </w:tcPr>
          <w:p>
            <w:pPr>
              <w:jc w:val="left"/>
            </w:pPr>
            <w:r/>
            <w:r>
              <w:rPr>
                <w:rFonts w:ascii="Arial" w:hAnsi="Arial" w:eastAsia="Arial" w:cs="Arial"/>
                <w:b w:val="0"/>
                <w:i w:val="0"/>
                <w:sz w:val="20"/>
              </w:rPr>
              <w:t>28,656</w:t>
            </w:r>
          </w:p>
        </w:tc>
        <w:tc>
          <w:tcPr>
            <w:tcW w:type="dxa" w:w="1928"/>
            <w:tcMar>
              <w:top w:w="80" w:type="dxa"/>
              <w:bottom w:w="80" w:type="dxa"/>
              <w:left w:w="120" w:type="dxa"/>
              <w:right w:w="120" w:type="dxa"/>
            </w:tcMar>
          </w:tcPr>
          <w:p>
            <w:pPr>
              <w:jc w:val="left"/>
            </w:pPr>
            <w:r/>
            <w:r>
              <w:rPr>
                <w:rFonts w:ascii="Arial" w:hAnsi="Arial" w:eastAsia="Arial" w:cs="Arial"/>
                <w:b w:val="0"/>
                <w:i w:val="0"/>
                <w:sz w:val="20"/>
              </w:rPr>
              <w:t>85,410</w:t>
            </w:r>
          </w:p>
        </w:tc>
      </w:tr>
      <w:tr>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Avg distance/trip (mi)</w:t>
            </w:r>
          </w:p>
        </w:tc>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1,430.2</w:t>
            </w:r>
          </w:p>
        </w:tc>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1,437.8</w:t>
            </w:r>
          </w:p>
        </w:tc>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1,422.9</w:t>
            </w:r>
          </w:p>
        </w:tc>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1,430.3</w:t>
            </w:r>
          </w:p>
        </w:tc>
      </w:tr>
      <w:tr>
        <w:tc>
          <w:tcPr>
            <w:tcW w:type="dxa" w:w="1928"/>
            <w:tcMar>
              <w:top w:w="80" w:type="dxa"/>
              <w:bottom w:w="80" w:type="dxa"/>
              <w:left w:w="120" w:type="dxa"/>
              <w:right w:w="120" w:type="dxa"/>
            </w:tcMar>
          </w:tcPr>
          <w:p>
            <w:pPr>
              <w:jc w:val="left"/>
            </w:pPr>
            <w:r/>
            <w:r>
              <w:rPr>
                <w:rFonts w:ascii="Arial" w:hAnsi="Arial" w:eastAsia="Arial" w:cs="Arial"/>
                <w:b w:val="0"/>
                <w:i w:val="0"/>
                <w:sz w:val="20"/>
              </w:rPr>
              <w:t>Avg MPG</w:t>
            </w:r>
          </w:p>
        </w:tc>
        <w:tc>
          <w:tcPr>
            <w:tcW w:type="dxa" w:w="1928"/>
            <w:tcMar>
              <w:top w:w="80" w:type="dxa"/>
              <w:bottom w:w="80" w:type="dxa"/>
              <w:left w:w="120" w:type="dxa"/>
              <w:right w:w="120" w:type="dxa"/>
            </w:tcMar>
          </w:tcPr>
          <w:p>
            <w:pPr>
              <w:jc w:val="left"/>
            </w:pPr>
            <w:r/>
            <w:r>
              <w:rPr>
                <w:rFonts w:ascii="Arial" w:hAnsi="Arial" w:eastAsia="Arial" w:cs="Arial"/>
                <w:b w:val="0"/>
                <w:i w:val="0"/>
                <w:sz w:val="20"/>
              </w:rPr>
              <w:t>6.50</w:t>
            </w:r>
          </w:p>
        </w:tc>
        <w:tc>
          <w:tcPr>
            <w:tcW w:type="dxa" w:w="1928"/>
            <w:tcMar>
              <w:top w:w="80" w:type="dxa"/>
              <w:bottom w:w="80" w:type="dxa"/>
              <w:left w:w="120" w:type="dxa"/>
              <w:right w:w="120" w:type="dxa"/>
            </w:tcMar>
          </w:tcPr>
          <w:p>
            <w:pPr>
              <w:jc w:val="left"/>
            </w:pPr>
            <w:r/>
            <w:r>
              <w:rPr>
                <w:rFonts w:ascii="Arial" w:hAnsi="Arial" w:eastAsia="Arial" w:cs="Arial"/>
                <w:b w:val="0"/>
                <w:i w:val="0"/>
                <w:sz w:val="20"/>
              </w:rPr>
              <w:t>6.50</w:t>
            </w:r>
          </w:p>
        </w:tc>
        <w:tc>
          <w:tcPr>
            <w:tcW w:type="dxa" w:w="1928"/>
            <w:tcMar>
              <w:top w:w="80" w:type="dxa"/>
              <w:bottom w:w="80" w:type="dxa"/>
              <w:left w:w="120" w:type="dxa"/>
              <w:right w:w="120" w:type="dxa"/>
            </w:tcMar>
          </w:tcPr>
          <w:p>
            <w:pPr>
              <w:jc w:val="left"/>
            </w:pPr>
            <w:r/>
            <w:r>
              <w:rPr>
                <w:rFonts w:ascii="Arial" w:hAnsi="Arial" w:eastAsia="Arial" w:cs="Arial"/>
                <w:b w:val="0"/>
                <w:i w:val="0"/>
                <w:sz w:val="20"/>
              </w:rPr>
              <w:t>6.51</w:t>
            </w:r>
          </w:p>
        </w:tc>
        <w:tc>
          <w:tcPr>
            <w:tcW w:type="dxa" w:w="1928"/>
            <w:tcMar>
              <w:top w:w="80" w:type="dxa"/>
              <w:bottom w:w="80" w:type="dxa"/>
              <w:left w:w="120" w:type="dxa"/>
              <w:right w:w="120" w:type="dxa"/>
            </w:tcMar>
          </w:tcPr>
          <w:p>
            <w:pPr>
              <w:jc w:val="left"/>
            </w:pPr>
            <w:r/>
            <w:r>
              <w:rPr>
                <w:rFonts w:ascii="Arial" w:hAnsi="Arial" w:eastAsia="Arial" w:cs="Arial"/>
                <w:b w:val="0"/>
                <w:i w:val="0"/>
                <w:sz w:val="20"/>
              </w:rPr>
              <w:t>6.50</w:t>
            </w:r>
          </w:p>
        </w:tc>
      </w:tr>
      <w:tr>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Avg idle time (h)</w:t>
            </w:r>
          </w:p>
        </w:tc>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7.03</w:t>
            </w:r>
          </w:p>
        </w:tc>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7.00</w:t>
            </w:r>
          </w:p>
        </w:tc>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7.00</w:t>
            </w:r>
          </w:p>
        </w:tc>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7.01</w:t>
            </w:r>
          </w:p>
        </w:tc>
      </w:tr>
      <w:tr>
        <w:tc>
          <w:tcPr>
            <w:tcW w:type="dxa" w:w="1928"/>
            <w:tcMar>
              <w:top w:w="80" w:type="dxa"/>
              <w:bottom w:w="80" w:type="dxa"/>
              <w:left w:w="120" w:type="dxa"/>
              <w:right w:w="120" w:type="dxa"/>
            </w:tcMar>
          </w:tcPr>
          <w:p>
            <w:pPr>
              <w:jc w:val="left"/>
            </w:pPr>
            <w:r/>
            <w:r>
              <w:rPr>
                <w:rFonts w:ascii="Arial" w:hAnsi="Arial" w:eastAsia="Arial" w:cs="Arial"/>
                <w:b w:val="0"/>
                <w:i w:val="0"/>
                <w:sz w:val="20"/>
              </w:rPr>
              <w:t>Safety incidents</w:t>
            </w:r>
          </w:p>
        </w:tc>
        <w:tc>
          <w:tcPr>
            <w:tcW w:type="dxa" w:w="1928"/>
            <w:tcMar>
              <w:top w:w="80" w:type="dxa"/>
              <w:bottom w:w="80" w:type="dxa"/>
              <w:left w:w="120" w:type="dxa"/>
              <w:right w:w="120" w:type="dxa"/>
            </w:tcMar>
          </w:tcPr>
          <w:p>
            <w:pPr>
              <w:jc w:val="left"/>
            </w:pPr>
            <w:r/>
            <w:r>
              <w:rPr>
                <w:rFonts w:ascii="Arial" w:hAnsi="Arial" w:eastAsia="Arial" w:cs="Arial"/>
                <w:b w:val="0"/>
                <w:i w:val="0"/>
                <w:sz w:val="20"/>
              </w:rPr>
              <w:t>56</w:t>
            </w:r>
          </w:p>
        </w:tc>
        <w:tc>
          <w:tcPr>
            <w:tcW w:type="dxa" w:w="1928"/>
            <w:tcMar>
              <w:top w:w="80" w:type="dxa"/>
              <w:bottom w:w="80" w:type="dxa"/>
              <w:left w:w="120" w:type="dxa"/>
              <w:right w:w="120" w:type="dxa"/>
            </w:tcMar>
          </w:tcPr>
          <w:p>
            <w:pPr>
              <w:jc w:val="left"/>
            </w:pPr>
            <w:r/>
            <w:r>
              <w:rPr>
                <w:rFonts w:ascii="Arial" w:hAnsi="Arial" w:eastAsia="Arial" w:cs="Arial"/>
                <w:b w:val="0"/>
                <w:i w:val="0"/>
                <w:sz w:val="20"/>
              </w:rPr>
              <w:t>54</w:t>
            </w:r>
          </w:p>
        </w:tc>
        <w:tc>
          <w:tcPr>
            <w:tcW w:type="dxa" w:w="1928"/>
            <w:tcMar>
              <w:top w:w="80" w:type="dxa"/>
              <w:bottom w:w="80" w:type="dxa"/>
              <w:left w:w="120" w:type="dxa"/>
              <w:right w:w="120" w:type="dxa"/>
            </w:tcMar>
          </w:tcPr>
          <w:p>
            <w:pPr>
              <w:jc w:val="left"/>
            </w:pPr>
            <w:r/>
            <w:r>
              <w:rPr>
                <w:rFonts w:ascii="Arial" w:hAnsi="Arial" w:eastAsia="Arial" w:cs="Arial"/>
                <w:b w:val="0"/>
                <w:i w:val="0"/>
                <w:sz w:val="20"/>
              </w:rPr>
              <w:t>60</w:t>
            </w:r>
          </w:p>
        </w:tc>
        <w:tc>
          <w:tcPr>
            <w:tcW w:type="dxa" w:w="1928"/>
            <w:tcMar>
              <w:top w:w="80" w:type="dxa"/>
              <w:bottom w:w="80" w:type="dxa"/>
              <w:left w:w="120" w:type="dxa"/>
              <w:right w:w="120" w:type="dxa"/>
            </w:tcMar>
          </w:tcPr>
          <w:p>
            <w:pPr>
              <w:jc w:val="left"/>
            </w:pPr>
            <w:r/>
            <w:r>
              <w:rPr>
                <w:rFonts w:ascii="Arial" w:hAnsi="Arial" w:eastAsia="Arial" w:cs="Arial"/>
                <w:b w:val="0"/>
                <w:i w:val="0"/>
                <w:sz w:val="20"/>
              </w:rPr>
              <w:t>170</w:t>
            </w:r>
          </w:p>
        </w:tc>
      </w:tr>
      <w:tr>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Incident rate / 1k trips</w:t>
            </w:r>
          </w:p>
        </w:tc>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1.96</w:t>
            </w:r>
          </w:p>
        </w:tc>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1.92</w:t>
            </w:r>
          </w:p>
        </w:tc>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2.09</w:t>
            </w:r>
          </w:p>
        </w:tc>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w:t>
            </w:r>
          </w:p>
        </w:tc>
      </w:tr>
      <w:tr>
        <w:tc>
          <w:tcPr>
            <w:tcW w:type="dxa" w:w="1928"/>
            <w:tcMar>
              <w:top w:w="80" w:type="dxa"/>
              <w:bottom w:w="80" w:type="dxa"/>
              <w:left w:w="120" w:type="dxa"/>
              <w:right w:w="120" w:type="dxa"/>
            </w:tcMar>
          </w:tcPr>
          <w:p>
            <w:pPr>
              <w:jc w:val="left"/>
            </w:pPr>
            <w:r/>
            <w:r>
              <w:rPr>
                <w:rFonts w:ascii="Arial" w:hAnsi="Arial" w:eastAsia="Arial" w:cs="Arial"/>
                <w:b w:val="0"/>
                <w:i w:val="0"/>
                <w:sz w:val="20"/>
              </w:rPr>
              <w:t>Total claims ($)</w:t>
            </w:r>
          </w:p>
        </w:tc>
        <w:tc>
          <w:tcPr>
            <w:tcW w:type="dxa" w:w="1928"/>
            <w:tcMar>
              <w:top w:w="80" w:type="dxa"/>
              <w:bottom w:w="80" w:type="dxa"/>
              <w:left w:w="120" w:type="dxa"/>
              <w:right w:w="120" w:type="dxa"/>
            </w:tcMar>
          </w:tcPr>
          <w:p>
            <w:pPr>
              <w:jc w:val="left"/>
            </w:pPr>
            <w:r/>
            <w:r>
              <w:rPr>
                <w:rFonts w:ascii="Arial" w:hAnsi="Arial" w:eastAsia="Arial" w:cs="Arial"/>
                <w:b w:val="0"/>
                <w:i w:val="0"/>
                <w:sz w:val="20"/>
              </w:rPr>
              <w:t>$1,021,409</w:t>
            </w:r>
          </w:p>
        </w:tc>
        <w:tc>
          <w:tcPr>
            <w:tcW w:type="dxa" w:w="1928"/>
            <w:tcMar>
              <w:top w:w="80" w:type="dxa"/>
              <w:bottom w:w="80" w:type="dxa"/>
              <w:left w:w="120" w:type="dxa"/>
              <w:right w:w="120" w:type="dxa"/>
            </w:tcMar>
          </w:tcPr>
          <w:p>
            <w:pPr>
              <w:jc w:val="left"/>
            </w:pPr>
            <w:r/>
            <w:r>
              <w:rPr>
                <w:rFonts w:ascii="Arial" w:hAnsi="Arial" w:eastAsia="Arial" w:cs="Arial"/>
                <w:b w:val="0"/>
                <w:i w:val="0"/>
                <w:sz w:val="20"/>
              </w:rPr>
              <w:t>$791,367</w:t>
            </w:r>
          </w:p>
        </w:tc>
        <w:tc>
          <w:tcPr>
            <w:tcW w:type="dxa" w:w="1928"/>
            <w:tcMar>
              <w:top w:w="80" w:type="dxa"/>
              <w:bottom w:w="80" w:type="dxa"/>
              <w:left w:w="120" w:type="dxa"/>
              <w:right w:w="120" w:type="dxa"/>
            </w:tcMar>
          </w:tcPr>
          <w:p>
            <w:pPr>
              <w:jc w:val="left"/>
            </w:pPr>
            <w:r/>
            <w:r>
              <w:rPr>
                <w:rFonts w:ascii="Arial" w:hAnsi="Arial" w:eastAsia="Arial" w:cs="Arial"/>
                <w:b w:val="0"/>
                <w:i w:val="0"/>
                <w:sz w:val="20"/>
              </w:rPr>
              <w:t>$840,396</w:t>
            </w:r>
          </w:p>
        </w:tc>
        <w:tc>
          <w:tcPr>
            <w:tcW w:type="dxa" w:w="1928"/>
            <w:tcMar>
              <w:top w:w="80" w:type="dxa"/>
              <w:bottom w:w="80" w:type="dxa"/>
              <w:left w:w="120" w:type="dxa"/>
              <w:right w:w="120" w:type="dxa"/>
            </w:tcMar>
          </w:tcPr>
          <w:p>
            <w:pPr>
              <w:jc w:val="left"/>
            </w:pPr>
            <w:r/>
            <w:r>
              <w:rPr>
                <w:rFonts w:ascii="Arial" w:hAnsi="Arial" w:eastAsia="Arial" w:cs="Arial"/>
                <w:b w:val="0"/>
                <w:i w:val="0"/>
                <w:sz w:val="20"/>
              </w:rPr>
              <w:t>$2,653,172</w:t>
            </w:r>
          </w:p>
        </w:tc>
      </w:tr>
    </w:tbl>
    <w:p>
      <w:pPr>
        <w:spacing w:after="80"/>
      </w:pPr>
    </w:p>
    <w:p>
      <w:pPr>
        <w:pStyle w:val="Heading1"/>
        <w:keepNext/>
        <w:spacing w:before="280" w:after="120"/>
      </w:pPr>
      <w:r>
        <w:rPr>
          <w:rFonts w:ascii="Arial" w:hAnsi="Arial" w:eastAsia="Arial" w:cs="Arial"/>
          <w:b/>
          <w:i w:val="0"/>
          <w:color w:val="2E5A88"/>
          <w:sz w:val="32"/>
        </w:rPr>
        <w:t>2. Scope &amp; Definitions</w:t>
      </w:r>
    </w:p>
    <w:p>
      <w:pPr>
        <w:spacing w:after="120" w:before="0" w:line="312" w:lineRule="auto"/>
        <w:ind w:firstLine="0"/>
      </w:pPr>
      <w:r>
        <w:rPr>
          <w:rFonts w:ascii="Arial" w:hAnsi="Arial" w:eastAsia="Arial" w:cs="Arial"/>
          <w:b w:val="0"/>
          <w:i w:val="0"/>
          <w:sz w:val="22"/>
        </w:rPr>
        <w:t>Objective. Analyze logistics operational performance across the fleet to identify trends, efficiency gaps, and safety-risk hotspots, and to recommend data-driven actions for the next operating year.</w:t>
      </w:r>
    </w:p>
    <w:p>
      <w:pPr>
        <w:pStyle w:val="Heading2"/>
        <w:keepNext/>
        <w:spacing w:before="200" w:after="120"/>
      </w:pPr>
      <w:r>
        <w:rPr>
          <w:rFonts w:ascii="Arial" w:hAnsi="Arial" w:eastAsia="Arial" w:cs="Arial"/>
          <w:b/>
          <w:i w:val="0"/>
          <w:color w:val="2E5A88"/>
          <w:sz w:val="26"/>
        </w:rPr>
        <w:t>Key Metrics</w:t>
      </w:r>
    </w:p>
    <w:p>
      <w:pPr>
        <w:spacing w:after="120" w:before="0" w:line="312" w:lineRule="auto"/>
        <w:ind w:firstLine="0"/>
      </w:pPr>
      <w:r>
        <w:rPr>
          <w:rFonts w:ascii="Arial" w:hAnsi="Arial" w:eastAsia="Arial" w:cs="Arial"/>
          <w:b w:val="0"/>
          <w:i w:val="0"/>
          <w:sz w:val="22"/>
        </w:rPr>
        <w:t>The following six metrics anchor the analysis. They were chosen because they span the three operational dimensions that matter most to a freight fleet — throughput, efficiency, and safety — and because each can be computed directly from the available tables without external enrichment.</w:t>
      </w:r>
    </w:p>
    <w:p>
      <w:pPr>
        <w:pStyle w:val="ListBullet"/>
        <w:spacing w:line="312" w:lineRule="auto"/>
      </w:pPr>
      <w:r>
        <w:rPr>
          <w:rFonts w:ascii="Arial" w:hAnsi="Arial" w:eastAsia="Arial" w:cs="Arial"/>
          <w:b w:val="0"/>
          <w:i w:val="0"/>
          <w:sz w:val="22"/>
        </w:rPr>
        <w:t>Trip volume (count of dispatched trips)</w:t>
      </w:r>
    </w:p>
    <w:p>
      <w:pPr>
        <w:pStyle w:val="ListBullet"/>
        <w:spacing w:line="312" w:lineRule="auto"/>
      </w:pPr>
      <w:r>
        <w:rPr>
          <w:rFonts w:ascii="Arial" w:hAnsi="Arial" w:eastAsia="Arial" w:cs="Arial"/>
          <w:b w:val="0"/>
          <w:i w:val="0"/>
          <w:sz w:val="22"/>
        </w:rPr>
        <w:t>Average distance per trip (miles)</w:t>
      </w:r>
    </w:p>
    <w:p>
      <w:pPr>
        <w:pStyle w:val="ListBullet"/>
        <w:spacing w:line="312" w:lineRule="auto"/>
      </w:pPr>
      <w:r>
        <w:rPr>
          <w:rFonts w:ascii="Arial" w:hAnsi="Arial" w:eastAsia="Arial" w:cs="Arial"/>
          <w:b w:val="0"/>
          <w:i w:val="0"/>
          <w:sz w:val="22"/>
        </w:rPr>
        <w:t>Fuel efficiency (average MPG)</w:t>
      </w:r>
    </w:p>
    <w:p>
      <w:pPr>
        <w:pStyle w:val="ListBullet"/>
        <w:spacing w:line="312" w:lineRule="auto"/>
      </w:pPr>
      <w:r>
        <w:rPr>
          <w:rFonts w:ascii="Arial" w:hAnsi="Arial" w:eastAsia="Arial" w:cs="Arial"/>
          <w:b w:val="0"/>
          <w:i w:val="0"/>
          <w:sz w:val="22"/>
        </w:rPr>
        <w:t>Idle time (hours per trip)</w:t>
      </w:r>
    </w:p>
    <w:p>
      <w:pPr>
        <w:pStyle w:val="ListBullet"/>
        <w:spacing w:line="312" w:lineRule="auto"/>
      </w:pPr>
      <w:r>
        <w:rPr>
          <w:rFonts w:ascii="Arial" w:hAnsi="Arial" w:eastAsia="Arial" w:cs="Arial"/>
          <w:b w:val="0"/>
          <w:i w:val="0"/>
          <w:sz w:val="22"/>
        </w:rPr>
        <w:t>Safety incident rate (incidents per 1,000 trips)</w:t>
      </w:r>
    </w:p>
    <w:p>
      <w:pPr>
        <w:pStyle w:val="ListBullet"/>
        <w:spacing w:line="312" w:lineRule="auto"/>
      </w:pPr>
      <w:r>
        <w:rPr>
          <w:rFonts w:ascii="Arial" w:hAnsi="Arial" w:eastAsia="Arial" w:cs="Arial"/>
          <w:b w:val="0"/>
          <w:i w:val="0"/>
          <w:sz w:val="22"/>
        </w:rPr>
        <w:t>Total claim exposure ($)</w:t>
      </w:r>
    </w:p>
    <w:p>
      <w:pPr>
        <w:pStyle w:val="Heading2"/>
        <w:keepNext/>
        <w:spacing w:before="200" w:after="120"/>
      </w:pPr>
      <w:r>
        <w:rPr>
          <w:rFonts w:ascii="Arial" w:hAnsi="Arial" w:eastAsia="Arial" w:cs="Arial"/>
          <w:b/>
          <w:i w:val="0"/>
          <w:color w:val="2E5A88"/>
          <w:sz w:val="26"/>
        </w:rPr>
        <w:t>Time Range &amp; Granularity</w:t>
      </w:r>
    </w:p>
    <w:p>
      <w:pPr>
        <w:spacing w:after="120" w:before="0" w:line="312" w:lineRule="auto"/>
        <w:ind w:firstLine="0"/>
      </w:pPr>
      <w:r>
        <w:rPr>
          <w:rFonts w:ascii="Arial" w:hAnsi="Arial" w:eastAsia="Arial" w:cs="Arial"/>
          <w:b w:val="0"/>
          <w:i w:val="0"/>
          <w:sz w:val="22"/>
        </w:rPr>
        <w:t>Time range: 2022-01-01 to 2024-12-31 (36 months, 3 calendar years). Granularity: Monthly for trend analysis; yearly for comparison; per-trip for attribution. Monthly granularity is used for trend detection, yearly granularity for comparison, and per-trip granularity for attribution analysis. The three-year window is long enough to smooth out seasonal noise and detect structural shifts, while remaining recent enough to be operationally relevant.</w:t>
      </w:r>
    </w:p>
    <w:p>
      <w:pPr>
        <w:pStyle w:val="Heading2"/>
        <w:keepNext/>
        <w:spacing w:before="200" w:after="120"/>
      </w:pPr>
      <w:r>
        <w:rPr>
          <w:rFonts w:ascii="Arial" w:hAnsi="Arial" w:eastAsia="Arial" w:cs="Arial"/>
          <w:b/>
          <w:i w:val="0"/>
          <w:color w:val="2E5A88"/>
          <w:sz w:val="26"/>
        </w:rPr>
        <w:t>Source Tables</w:t>
      </w:r>
    </w:p>
    <w:p>
      <w:pPr>
        <w:spacing w:after="120" w:before="0" w:line="312" w:lineRule="auto"/>
        <w:ind w:firstLine="0"/>
      </w:pPr>
      <w:r>
        <w:rPr>
          <w:rFonts w:ascii="Arial" w:hAnsi="Arial" w:eastAsia="Arial" w:cs="Arial"/>
          <w:b w:val="0"/>
          <w:i w:val="0"/>
          <w:sz w:val="22"/>
        </w:rPr>
        <w:t>Three tables, loaded from CSV exports of the operational system, form the analytical foundation. Their sizes and relationships are summarized below.</w:t>
      </w:r>
    </w:p>
    <w:p>
      <w:pPr>
        <w:spacing w:after="80" w:before="160"/>
        <w:jc w:val="center"/>
      </w:pPr>
      <w:r>
        <w:rPr>
          <w:rFonts w:ascii="Arial" w:hAnsi="Arial" w:eastAsia="Arial" w:cs="Arial"/>
          <w:b w:val="0"/>
          <w:i/>
          <w:color w:val="555555"/>
          <w:sz w:val="19"/>
        </w:rPr>
        <w:t>Table 2-1: Source tables loaded into the logistics SQLite database.</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Table</w:t>
            </w:r>
          </w:p>
        </w:tc>
        <w:tc>
          <w:tcPr>
            <w:tcW w:type="dxa" w:w="2409"/>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Rows</w:t>
            </w:r>
          </w:p>
        </w:tc>
        <w:tc>
          <w:tcPr>
            <w:tcW w:type="dxa" w:w="2409"/>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Role</w:t>
            </w:r>
          </w:p>
        </w:tc>
        <w:tc>
          <w:tcPr>
            <w:tcW w:type="dxa" w:w="2409"/>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Primary Key</w:t>
            </w:r>
          </w:p>
        </w:tc>
      </w:tr>
      <w:tr>
        <w:tc>
          <w:tcPr>
            <w:tcW w:type="dxa" w:w="2409"/>
            <w:tcMar>
              <w:top w:w="80" w:type="dxa"/>
              <w:bottom w:w="80" w:type="dxa"/>
              <w:left w:w="120" w:type="dxa"/>
              <w:right w:w="120" w:type="dxa"/>
            </w:tcMar>
          </w:tcPr>
          <w:p>
            <w:pPr>
              <w:jc w:val="left"/>
            </w:pPr>
            <w:r/>
            <w:r>
              <w:rPr>
                <w:rFonts w:ascii="Arial" w:hAnsi="Arial" w:eastAsia="Arial" w:cs="Arial"/>
                <w:b w:val="0"/>
                <w:i w:val="0"/>
                <w:sz w:val="20"/>
              </w:rPr>
              <w:t>trailers</w:t>
            </w:r>
          </w:p>
        </w:tc>
        <w:tc>
          <w:tcPr>
            <w:tcW w:type="dxa" w:w="2409"/>
            <w:tcMar>
              <w:top w:w="80" w:type="dxa"/>
              <w:bottom w:w="80" w:type="dxa"/>
              <w:left w:w="120" w:type="dxa"/>
              <w:right w:w="120" w:type="dxa"/>
            </w:tcMar>
          </w:tcPr>
          <w:p>
            <w:pPr>
              <w:jc w:val="left"/>
            </w:pPr>
            <w:r/>
            <w:r>
              <w:rPr>
                <w:rFonts w:ascii="Arial" w:hAnsi="Arial" w:eastAsia="Arial" w:cs="Arial"/>
                <w:b w:val="0"/>
                <w:i w:val="0"/>
                <w:sz w:val="20"/>
              </w:rPr>
              <w:t>180</w:t>
            </w:r>
          </w:p>
        </w:tc>
        <w:tc>
          <w:tcPr>
            <w:tcW w:type="dxa" w:w="2409"/>
            <w:tcMar>
              <w:top w:w="80" w:type="dxa"/>
              <w:bottom w:w="80" w:type="dxa"/>
              <w:left w:w="120" w:type="dxa"/>
              <w:right w:w="120" w:type="dxa"/>
            </w:tcMar>
          </w:tcPr>
          <w:p>
            <w:pPr>
              <w:jc w:val="left"/>
            </w:pPr>
            <w:r/>
            <w:r>
              <w:rPr>
                <w:rFonts w:ascii="Arial" w:hAnsi="Arial" w:eastAsia="Arial" w:cs="Arial"/>
                <w:b w:val="0"/>
                <w:i w:val="0"/>
                <w:sz w:val="20"/>
              </w:rPr>
              <w:t>Fleet asset reference (trailer master)</w:t>
            </w:r>
          </w:p>
        </w:tc>
        <w:tc>
          <w:tcPr>
            <w:tcW w:type="dxa" w:w="2409"/>
            <w:tcMar>
              <w:top w:w="80" w:type="dxa"/>
              <w:bottom w:w="80" w:type="dxa"/>
              <w:left w:w="120" w:type="dxa"/>
              <w:right w:w="120" w:type="dxa"/>
            </w:tcMar>
          </w:tcPr>
          <w:p>
            <w:pPr>
              <w:jc w:val="left"/>
            </w:pPr>
            <w:r/>
            <w:r>
              <w:rPr>
                <w:rFonts w:ascii="Arial" w:hAnsi="Arial" w:eastAsia="Arial" w:cs="Arial"/>
                <w:b w:val="0"/>
                <w:i w:val="0"/>
                <w:sz w:val="20"/>
              </w:rPr>
              <w:t>trailer_id</w:t>
            </w:r>
          </w:p>
        </w:tc>
      </w:tr>
      <w:tr>
        <w:tc>
          <w:tcPr>
            <w:tcW w:type="dxa" w:w="2409"/>
            <w:tcMar>
              <w:top w:w="80" w:type="dxa"/>
              <w:bottom w:w="80" w:type="dxa"/>
              <w:left w:w="120" w:type="dxa"/>
              <w:right w:w="120" w:type="dxa"/>
            </w:tcMar>
            <w:shd w:val="clear" w:color="auto" w:fill="F2F2F2"/>
          </w:tcPr>
          <w:p>
            <w:pPr>
              <w:jc w:val="left"/>
            </w:pPr>
            <w:r/>
            <w:r>
              <w:rPr>
                <w:rFonts w:ascii="Arial" w:hAnsi="Arial" w:eastAsia="Arial" w:cs="Arial"/>
                <w:b w:val="0"/>
                <w:i w:val="0"/>
                <w:sz w:val="20"/>
              </w:rPr>
              <w:t>trips</w:t>
            </w:r>
          </w:p>
        </w:tc>
        <w:tc>
          <w:tcPr>
            <w:tcW w:type="dxa" w:w="2409"/>
            <w:tcMar>
              <w:top w:w="80" w:type="dxa"/>
              <w:bottom w:w="80" w:type="dxa"/>
              <w:left w:w="120" w:type="dxa"/>
              <w:right w:w="120" w:type="dxa"/>
            </w:tcMar>
            <w:shd w:val="clear" w:color="auto" w:fill="F2F2F2"/>
          </w:tcPr>
          <w:p>
            <w:pPr>
              <w:jc w:val="left"/>
            </w:pPr>
            <w:r/>
            <w:r>
              <w:rPr>
                <w:rFonts w:ascii="Arial" w:hAnsi="Arial" w:eastAsia="Arial" w:cs="Arial"/>
                <w:b w:val="0"/>
                <w:i w:val="0"/>
                <w:sz w:val="20"/>
              </w:rPr>
              <w:t>85,410</w:t>
            </w:r>
          </w:p>
        </w:tc>
        <w:tc>
          <w:tcPr>
            <w:tcW w:type="dxa" w:w="2409"/>
            <w:tcMar>
              <w:top w:w="80" w:type="dxa"/>
              <w:bottom w:w="80" w:type="dxa"/>
              <w:left w:w="120" w:type="dxa"/>
              <w:right w:w="120" w:type="dxa"/>
            </w:tcMar>
            <w:shd w:val="clear" w:color="auto" w:fill="F2F2F2"/>
          </w:tcPr>
          <w:p>
            <w:pPr>
              <w:jc w:val="left"/>
            </w:pPr>
            <w:r/>
            <w:r>
              <w:rPr>
                <w:rFonts w:ascii="Arial" w:hAnsi="Arial" w:eastAsia="Arial" w:cs="Arial"/>
                <w:b w:val="0"/>
                <w:i w:val="0"/>
                <w:sz w:val="20"/>
              </w:rPr>
              <w:t>Operational fact table (one row per dispatched trip)</w:t>
            </w:r>
          </w:p>
        </w:tc>
        <w:tc>
          <w:tcPr>
            <w:tcW w:type="dxa" w:w="2409"/>
            <w:tcMar>
              <w:top w:w="80" w:type="dxa"/>
              <w:bottom w:w="80" w:type="dxa"/>
              <w:left w:w="120" w:type="dxa"/>
              <w:right w:w="120" w:type="dxa"/>
            </w:tcMar>
            <w:shd w:val="clear" w:color="auto" w:fill="F2F2F2"/>
          </w:tcPr>
          <w:p>
            <w:pPr>
              <w:jc w:val="left"/>
            </w:pPr>
            <w:r/>
            <w:r>
              <w:rPr>
                <w:rFonts w:ascii="Arial" w:hAnsi="Arial" w:eastAsia="Arial" w:cs="Arial"/>
                <w:b w:val="0"/>
                <w:i w:val="0"/>
                <w:sz w:val="20"/>
              </w:rPr>
              <w:t>trip_id</w:t>
            </w:r>
          </w:p>
        </w:tc>
      </w:tr>
      <w:tr>
        <w:tc>
          <w:tcPr>
            <w:tcW w:type="dxa" w:w="2409"/>
            <w:tcMar>
              <w:top w:w="80" w:type="dxa"/>
              <w:bottom w:w="80" w:type="dxa"/>
              <w:left w:w="120" w:type="dxa"/>
              <w:right w:w="120" w:type="dxa"/>
            </w:tcMar>
          </w:tcPr>
          <w:p>
            <w:pPr>
              <w:jc w:val="left"/>
            </w:pPr>
            <w:r/>
            <w:r>
              <w:rPr>
                <w:rFonts w:ascii="Arial" w:hAnsi="Arial" w:eastAsia="Arial" w:cs="Arial"/>
                <w:b w:val="0"/>
                <w:i w:val="0"/>
                <w:sz w:val="20"/>
              </w:rPr>
              <w:t>safety_incidents</w:t>
            </w:r>
          </w:p>
        </w:tc>
        <w:tc>
          <w:tcPr>
            <w:tcW w:type="dxa" w:w="2409"/>
            <w:tcMar>
              <w:top w:w="80" w:type="dxa"/>
              <w:bottom w:w="80" w:type="dxa"/>
              <w:left w:w="120" w:type="dxa"/>
              <w:right w:w="120" w:type="dxa"/>
            </w:tcMar>
          </w:tcPr>
          <w:p>
            <w:pPr>
              <w:jc w:val="left"/>
            </w:pPr>
            <w:r/>
            <w:r>
              <w:rPr>
                <w:rFonts w:ascii="Arial" w:hAnsi="Arial" w:eastAsia="Arial" w:cs="Arial"/>
                <w:b w:val="0"/>
                <w:i w:val="0"/>
                <w:sz w:val="20"/>
              </w:rPr>
              <w:t>170</w:t>
            </w:r>
          </w:p>
        </w:tc>
        <w:tc>
          <w:tcPr>
            <w:tcW w:type="dxa" w:w="2409"/>
            <w:tcMar>
              <w:top w:w="80" w:type="dxa"/>
              <w:bottom w:w="80" w:type="dxa"/>
              <w:left w:w="120" w:type="dxa"/>
              <w:right w:w="120" w:type="dxa"/>
            </w:tcMar>
          </w:tcPr>
          <w:p>
            <w:pPr>
              <w:jc w:val="left"/>
            </w:pPr>
            <w:r/>
            <w:r>
              <w:rPr>
                <w:rFonts w:ascii="Arial" w:hAnsi="Arial" w:eastAsia="Arial" w:cs="Arial"/>
                <w:b w:val="0"/>
                <w:i w:val="0"/>
                <w:sz w:val="20"/>
              </w:rPr>
              <w:t>Safety event log (linked to trips via trip_id)</w:t>
            </w:r>
          </w:p>
        </w:tc>
        <w:tc>
          <w:tcPr>
            <w:tcW w:type="dxa" w:w="2409"/>
            <w:tcMar>
              <w:top w:w="80" w:type="dxa"/>
              <w:bottom w:w="80" w:type="dxa"/>
              <w:left w:w="120" w:type="dxa"/>
              <w:right w:w="120" w:type="dxa"/>
            </w:tcMar>
          </w:tcPr>
          <w:p>
            <w:pPr>
              <w:jc w:val="left"/>
            </w:pPr>
            <w:r/>
            <w:r>
              <w:rPr>
                <w:rFonts w:ascii="Arial" w:hAnsi="Arial" w:eastAsia="Arial" w:cs="Arial"/>
                <w:b w:val="0"/>
                <w:i w:val="0"/>
                <w:sz w:val="20"/>
              </w:rPr>
              <w:t>incident_id</w:t>
            </w:r>
          </w:p>
        </w:tc>
      </w:tr>
    </w:tbl>
    <w:p>
      <w:pPr>
        <w:spacing w:after="80"/>
      </w:pPr>
    </w:p>
    <w:p>
      <w:pPr>
        <w:pStyle w:val="Heading1"/>
        <w:keepNext/>
        <w:spacing w:before="280" w:after="120"/>
      </w:pPr>
      <w:r>
        <w:rPr>
          <w:rFonts w:ascii="Arial" w:hAnsi="Arial" w:eastAsia="Arial" w:cs="Arial"/>
          <w:b/>
          <w:i w:val="0"/>
          <w:color w:val="2E5A88"/>
          <w:sz w:val="32"/>
        </w:rPr>
        <w:t>3. Data Quality Checks</w:t>
      </w:r>
    </w:p>
    <w:p>
      <w:pPr>
        <w:spacing w:after="120" w:before="0" w:line="312" w:lineRule="auto"/>
        <w:ind w:firstLine="0"/>
      </w:pPr>
      <w:r>
        <w:rPr>
          <w:rFonts w:ascii="Arial" w:hAnsi="Arial" w:eastAsia="Arial" w:cs="Arial"/>
          <w:b w:val="0"/>
          <w:i w:val="0"/>
          <w:sz w:val="22"/>
        </w:rPr>
        <w:t>Data quality was assessed across eight dimensions covering primary-key integrity, null-value checks, foreign-key referential integrity, and duplicate detection. The dataset is broadly fit for analytical use: primary keys are unique across all three tables, all 170 safety incidents successfully link to a parent trip, and numeric fields are fully populated. One data-quality warning was identified — 1,680 trips (1.97%) carry a blank trailer_id — which is addressed as a recommendation in Section 7.</w:t>
      </w:r>
    </w:p>
    <w:p>
      <w:pPr>
        <w:pStyle w:val="Heading2"/>
        <w:keepNext/>
        <w:spacing w:before="200" w:after="120"/>
      </w:pPr>
      <w:r>
        <w:rPr>
          <w:rFonts w:ascii="Arial" w:hAnsi="Arial" w:eastAsia="Arial" w:cs="Arial"/>
          <w:b/>
          <w:i w:val="0"/>
          <w:color w:val="2E5A88"/>
          <w:sz w:val="26"/>
        </w:rPr>
        <w:t>Row Counts &amp; Coverage</w:t>
      </w:r>
    </w:p>
    <w:p>
      <w:pPr>
        <w:spacing w:after="80" w:before="160"/>
        <w:jc w:val="center"/>
      </w:pPr>
      <w:r>
        <w:rPr>
          <w:rFonts w:ascii="Arial" w:hAnsi="Arial" w:eastAsia="Arial" w:cs="Arial"/>
          <w:b w:val="0"/>
          <w:i/>
          <w:color w:val="555555"/>
          <w:sz w:val="19"/>
        </w:rPr>
        <w:t>Table 3-1: Row counts and temporal coverage by table.</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Table</w:t>
            </w:r>
          </w:p>
        </w:tc>
        <w:tc>
          <w:tcPr>
            <w:tcW w:type="dxa" w:w="3213"/>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Row Count</w:t>
            </w:r>
          </w:p>
        </w:tc>
        <w:tc>
          <w:tcPr>
            <w:tcW w:type="dxa" w:w="3213"/>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Date Coverage</w:t>
            </w:r>
          </w:p>
        </w:tc>
      </w:tr>
      <w:tr>
        <w:tc>
          <w:tcPr>
            <w:tcW w:type="dxa" w:w="3213"/>
            <w:tcMar>
              <w:top w:w="80" w:type="dxa"/>
              <w:bottom w:w="80" w:type="dxa"/>
              <w:left w:w="120" w:type="dxa"/>
              <w:right w:w="120" w:type="dxa"/>
            </w:tcMar>
          </w:tcPr>
          <w:p>
            <w:pPr>
              <w:jc w:val="left"/>
            </w:pPr>
            <w:r/>
            <w:r>
              <w:rPr>
                <w:rFonts w:ascii="Arial" w:hAnsi="Arial" w:eastAsia="Arial" w:cs="Arial"/>
                <w:b w:val="0"/>
                <w:i w:val="0"/>
                <w:sz w:val="20"/>
              </w:rPr>
              <w:t>trailers</w:t>
            </w:r>
          </w:p>
        </w:tc>
        <w:tc>
          <w:tcPr>
            <w:tcW w:type="dxa" w:w="3213"/>
            <w:tcMar>
              <w:top w:w="80" w:type="dxa"/>
              <w:bottom w:w="80" w:type="dxa"/>
              <w:left w:w="120" w:type="dxa"/>
              <w:right w:w="120" w:type="dxa"/>
            </w:tcMar>
          </w:tcPr>
          <w:p>
            <w:pPr>
              <w:jc w:val="left"/>
            </w:pPr>
            <w:r/>
            <w:r>
              <w:rPr>
                <w:rFonts w:ascii="Arial" w:hAnsi="Arial" w:eastAsia="Arial" w:cs="Arial"/>
                <w:b w:val="0"/>
                <w:i w:val="0"/>
                <w:sz w:val="20"/>
              </w:rPr>
              <w:t>180</w:t>
            </w:r>
          </w:p>
        </w:tc>
        <w:tc>
          <w:tcPr>
            <w:tcW w:type="dxa" w:w="3213"/>
            <w:tcMar>
              <w:top w:w="80" w:type="dxa"/>
              <w:bottom w:w="80" w:type="dxa"/>
              <w:left w:w="120" w:type="dxa"/>
              <w:right w:w="120" w:type="dxa"/>
            </w:tcMar>
          </w:tcPr>
          <w:p>
            <w:pPr>
              <w:jc w:val="left"/>
            </w:pPr>
            <w:r/>
            <w:r>
              <w:rPr>
                <w:rFonts w:ascii="Arial" w:hAnsi="Arial" w:eastAsia="Arial" w:cs="Arial"/>
                <w:b w:val="0"/>
                <w:i w:val="0"/>
                <w:sz w:val="20"/>
              </w:rPr>
              <w:t>acquisition_date 2015-2024</w:t>
            </w:r>
          </w:p>
        </w:tc>
      </w:tr>
      <w:tr>
        <w:tc>
          <w:tcPr>
            <w:tcW w:type="dxa" w:w="3213"/>
            <w:tcMar>
              <w:top w:w="80" w:type="dxa"/>
              <w:bottom w:w="80" w:type="dxa"/>
              <w:left w:w="120" w:type="dxa"/>
              <w:right w:w="120" w:type="dxa"/>
            </w:tcMar>
            <w:shd w:val="clear" w:color="auto" w:fill="F2F2F2"/>
          </w:tcPr>
          <w:p>
            <w:pPr>
              <w:jc w:val="left"/>
            </w:pPr>
            <w:r/>
            <w:r>
              <w:rPr>
                <w:rFonts w:ascii="Arial" w:hAnsi="Arial" w:eastAsia="Arial" w:cs="Arial"/>
                <w:b w:val="0"/>
                <w:i w:val="0"/>
                <w:sz w:val="20"/>
              </w:rPr>
              <w:t>trips</w:t>
            </w:r>
          </w:p>
        </w:tc>
        <w:tc>
          <w:tcPr>
            <w:tcW w:type="dxa" w:w="3213"/>
            <w:tcMar>
              <w:top w:w="80" w:type="dxa"/>
              <w:bottom w:w="80" w:type="dxa"/>
              <w:left w:w="120" w:type="dxa"/>
              <w:right w:w="120" w:type="dxa"/>
            </w:tcMar>
            <w:shd w:val="clear" w:color="auto" w:fill="F2F2F2"/>
          </w:tcPr>
          <w:p>
            <w:pPr>
              <w:jc w:val="left"/>
            </w:pPr>
            <w:r/>
            <w:r>
              <w:rPr>
                <w:rFonts w:ascii="Arial" w:hAnsi="Arial" w:eastAsia="Arial" w:cs="Arial"/>
                <w:b w:val="0"/>
                <w:i w:val="0"/>
                <w:sz w:val="20"/>
              </w:rPr>
              <w:t>85,410</w:t>
            </w:r>
          </w:p>
        </w:tc>
        <w:tc>
          <w:tcPr>
            <w:tcW w:type="dxa" w:w="3213"/>
            <w:tcMar>
              <w:top w:w="80" w:type="dxa"/>
              <w:bottom w:w="80" w:type="dxa"/>
              <w:left w:w="120" w:type="dxa"/>
              <w:right w:w="120" w:type="dxa"/>
            </w:tcMar>
            <w:shd w:val="clear" w:color="auto" w:fill="F2F2F2"/>
          </w:tcPr>
          <w:p>
            <w:pPr>
              <w:jc w:val="left"/>
            </w:pPr>
            <w:r/>
            <w:r>
              <w:rPr>
                <w:rFonts w:ascii="Arial" w:hAnsi="Arial" w:eastAsia="Arial" w:cs="Arial"/>
                <w:b w:val="0"/>
                <w:i w:val="0"/>
                <w:sz w:val="20"/>
              </w:rPr>
              <w:t>2022-01-01 to 2024-12-31</w:t>
            </w:r>
          </w:p>
        </w:tc>
      </w:tr>
      <w:tr>
        <w:tc>
          <w:tcPr>
            <w:tcW w:type="dxa" w:w="3213"/>
            <w:tcMar>
              <w:top w:w="80" w:type="dxa"/>
              <w:bottom w:w="80" w:type="dxa"/>
              <w:left w:w="120" w:type="dxa"/>
              <w:right w:w="120" w:type="dxa"/>
            </w:tcMar>
          </w:tcPr>
          <w:p>
            <w:pPr>
              <w:jc w:val="left"/>
            </w:pPr>
            <w:r/>
            <w:r>
              <w:rPr>
                <w:rFonts w:ascii="Arial" w:hAnsi="Arial" w:eastAsia="Arial" w:cs="Arial"/>
                <w:b w:val="0"/>
                <w:i w:val="0"/>
                <w:sz w:val="20"/>
              </w:rPr>
              <w:t>safety_incidents</w:t>
            </w:r>
          </w:p>
        </w:tc>
        <w:tc>
          <w:tcPr>
            <w:tcW w:type="dxa" w:w="3213"/>
            <w:tcMar>
              <w:top w:w="80" w:type="dxa"/>
              <w:bottom w:w="80" w:type="dxa"/>
              <w:left w:w="120" w:type="dxa"/>
              <w:right w:w="120" w:type="dxa"/>
            </w:tcMar>
          </w:tcPr>
          <w:p>
            <w:pPr>
              <w:jc w:val="left"/>
            </w:pPr>
            <w:r/>
            <w:r>
              <w:rPr>
                <w:rFonts w:ascii="Arial" w:hAnsi="Arial" w:eastAsia="Arial" w:cs="Arial"/>
                <w:b w:val="0"/>
                <w:i w:val="0"/>
                <w:sz w:val="20"/>
              </w:rPr>
              <w:t>170</w:t>
            </w:r>
          </w:p>
        </w:tc>
        <w:tc>
          <w:tcPr>
            <w:tcW w:type="dxa" w:w="3213"/>
            <w:tcMar>
              <w:top w:w="80" w:type="dxa"/>
              <w:bottom w:w="80" w:type="dxa"/>
              <w:left w:w="120" w:type="dxa"/>
              <w:right w:w="120" w:type="dxa"/>
            </w:tcMar>
          </w:tcPr>
          <w:p>
            <w:pPr>
              <w:jc w:val="left"/>
            </w:pPr>
            <w:r/>
            <w:r>
              <w:rPr>
                <w:rFonts w:ascii="Arial" w:hAnsi="Arial" w:eastAsia="Arial" w:cs="Arial"/>
                <w:b w:val="0"/>
                <w:i w:val="0"/>
                <w:sz w:val="20"/>
              </w:rPr>
              <w:t>incident_date 2022-2024</w:t>
            </w:r>
          </w:p>
        </w:tc>
      </w:tr>
    </w:tbl>
    <w:p>
      <w:pPr>
        <w:spacing w:after="80"/>
      </w:pPr>
    </w:p>
    <w:p>
      <w:pPr>
        <w:pStyle w:val="Heading2"/>
        <w:keepNext/>
        <w:spacing w:before="200" w:after="120"/>
      </w:pPr>
      <w:r>
        <w:rPr>
          <w:rFonts w:ascii="Arial" w:hAnsi="Arial" w:eastAsia="Arial" w:cs="Arial"/>
          <w:b/>
          <w:i w:val="0"/>
          <w:color w:val="2E5A88"/>
          <w:sz w:val="26"/>
        </w:rPr>
        <w:t>Quality Check Results</w:t>
      </w:r>
    </w:p>
    <w:p>
      <w:pPr>
        <w:spacing w:after="80" w:before="160"/>
        <w:jc w:val="center"/>
      </w:pPr>
      <w:r>
        <w:rPr>
          <w:rFonts w:ascii="Arial" w:hAnsi="Arial" w:eastAsia="Arial" w:cs="Arial"/>
          <w:b w:val="0"/>
          <w:i/>
          <w:color w:val="555555"/>
          <w:sz w:val="19"/>
        </w:rPr>
        <w:t>Table 3-2: Data quality check results (PASS / WARN / FAIL).</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Check</w:t>
            </w:r>
          </w:p>
        </w:tc>
        <w:tc>
          <w:tcPr>
            <w:tcW w:type="dxa" w:w="3213"/>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Result</w:t>
            </w:r>
          </w:p>
        </w:tc>
        <w:tc>
          <w:tcPr>
            <w:tcW w:type="dxa" w:w="3213"/>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Status</w:t>
            </w:r>
          </w:p>
        </w:tc>
      </w:tr>
      <w:tr>
        <w:tc>
          <w:tcPr>
            <w:tcW w:type="dxa" w:w="3213"/>
            <w:tcMar>
              <w:top w:w="80" w:type="dxa"/>
              <w:bottom w:w="80" w:type="dxa"/>
              <w:left w:w="120" w:type="dxa"/>
              <w:right w:w="120" w:type="dxa"/>
            </w:tcMar>
          </w:tcPr>
          <w:p>
            <w:pPr>
              <w:jc w:val="left"/>
            </w:pPr>
            <w:r/>
            <w:r>
              <w:rPr>
                <w:rFonts w:ascii="Arial" w:hAnsi="Arial" w:eastAsia="Arial" w:cs="Arial"/>
                <w:b w:val="0"/>
                <w:i w:val="0"/>
                <w:sz w:val="20"/>
              </w:rPr>
              <w:t>Duplicate trip_id PKs</w:t>
            </w:r>
          </w:p>
        </w:tc>
        <w:tc>
          <w:tcPr>
            <w:tcW w:type="dxa" w:w="3213"/>
            <w:tcMar>
              <w:top w:w="80" w:type="dxa"/>
              <w:bottom w:w="80" w:type="dxa"/>
              <w:left w:w="120" w:type="dxa"/>
              <w:right w:w="120" w:type="dxa"/>
            </w:tcMar>
          </w:tcPr>
          <w:p>
            <w:pPr>
              <w:jc w:val="left"/>
            </w:pPr>
            <w:r/>
            <w:r>
              <w:rPr>
                <w:rFonts w:ascii="Arial" w:hAnsi="Arial" w:eastAsia="Arial" w:cs="Arial"/>
                <w:b w:val="0"/>
                <w:i w:val="0"/>
                <w:sz w:val="20"/>
              </w:rPr>
              <w:t>0</w:t>
            </w:r>
          </w:p>
        </w:tc>
        <w:tc>
          <w:tcPr>
            <w:tcW w:type="dxa" w:w="3213"/>
            <w:tcMar>
              <w:top w:w="80" w:type="dxa"/>
              <w:bottom w:w="80" w:type="dxa"/>
              <w:left w:w="120" w:type="dxa"/>
              <w:right w:w="120" w:type="dxa"/>
            </w:tcMar>
          </w:tcPr>
          <w:p>
            <w:pPr>
              <w:jc w:val="left"/>
            </w:pPr>
            <w:r/>
            <w:r>
              <w:rPr>
                <w:rFonts w:ascii="Arial" w:hAnsi="Arial" w:eastAsia="Arial" w:cs="Arial"/>
                <w:b w:val="0"/>
                <w:i w:val="0"/>
                <w:sz w:val="20"/>
              </w:rPr>
              <w:t>PASS</w:t>
            </w:r>
          </w:p>
        </w:tc>
      </w:tr>
      <w:tr>
        <w:tc>
          <w:tcPr>
            <w:tcW w:type="dxa" w:w="3213"/>
            <w:tcMar>
              <w:top w:w="80" w:type="dxa"/>
              <w:bottom w:w="80" w:type="dxa"/>
              <w:left w:w="120" w:type="dxa"/>
              <w:right w:w="120" w:type="dxa"/>
            </w:tcMar>
            <w:shd w:val="clear" w:color="auto" w:fill="F2F2F2"/>
          </w:tcPr>
          <w:p>
            <w:pPr>
              <w:jc w:val="left"/>
            </w:pPr>
            <w:r/>
            <w:r>
              <w:rPr>
                <w:rFonts w:ascii="Arial" w:hAnsi="Arial" w:eastAsia="Arial" w:cs="Arial"/>
                <w:b w:val="0"/>
                <w:i w:val="0"/>
                <w:sz w:val="20"/>
              </w:rPr>
              <w:t>Duplicate incident_id PKs</w:t>
            </w:r>
          </w:p>
        </w:tc>
        <w:tc>
          <w:tcPr>
            <w:tcW w:type="dxa" w:w="3213"/>
            <w:tcMar>
              <w:top w:w="80" w:type="dxa"/>
              <w:bottom w:w="80" w:type="dxa"/>
              <w:left w:w="120" w:type="dxa"/>
              <w:right w:w="120" w:type="dxa"/>
            </w:tcMar>
            <w:shd w:val="clear" w:color="auto" w:fill="F2F2F2"/>
          </w:tcPr>
          <w:p>
            <w:pPr>
              <w:jc w:val="left"/>
            </w:pPr>
            <w:r/>
            <w:r>
              <w:rPr>
                <w:rFonts w:ascii="Arial" w:hAnsi="Arial" w:eastAsia="Arial" w:cs="Arial"/>
                <w:b w:val="0"/>
                <w:i w:val="0"/>
                <w:sz w:val="20"/>
              </w:rPr>
              <w:t>0</w:t>
            </w:r>
          </w:p>
        </w:tc>
        <w:tc>
          <w:tcPr>
            <w:tcW w:type="dxa" w:w="3213"/>
            <w:tcMar>
              <w:top w:w="80" w:type="dxa"/>
              <w:bottom w:w="80" w:type="dxa"/>
              <w:left w:w="120" w:type="dxa"/>
              <w:right w:w="120" w:type="dxa"/>
            </w:tcMar>
            <w:shd w:val="clear" w:color="auto" w:fill="F2F2F2"/>
          </w:tcPr>
          <w:p>
            <w:pPr>
              <w:jc w:val="left"/>
            </w:pPr>
            <w:r/>
            <w:r>
              <w:rPr>
                <w:rFonts w:ascii="Arial" w:hAnsi="Arial" w:eastAsia="Arial" w:cs="Arial"/>
                <w:b w:val="0"/>
                <w:i w:val="0"/>
                <w:sz w:val="20"/>
              </w:rPr>
              <w:t>PASS</w:t>
            </w:r>
          </w:p>
        </w:tc>
      </w:tr>
      <w:tr>
        <w:tc>
          <w:tcPr>
            <w:tcW w:type="dxa" w:w="3213"/>
            <w:tcMar>
              <w:top w:w="80" w:type="dxa"/>
              <w:bottom w:w="80" w:type="dxa"/>
              <w:left w:w="120" w:type="dxa"/>
              <w:right w:w="120" w:type="dxa"/>
            </w:tcMar>
          </w:tcPr>
          <w:p>
            <w:pPr>
              <w:jc w:val="left"/>
            </w:pPr>
            <w:r/>
            <w:r>
              <w:rPr>
                <w:rFonts w:ascii="Arial" w:hAnsi="Arial" w:eastAsia="Arial" w:cs="Arial"/>
                <w:b w:val="0"/>
                <w:i w:val="0"/>
                <w:sz w:val="20"/>
              </w:rPr>
              <w:t>Trips with NULL distance</w:t>
            </w:r>
          </w:p>
        </w:tc>
        <w:tc>
          <w:tcPr>
            <w:tcW w:type="dxa" w:w="3213"/>
            <w:tcMar>
              <w:top w:w="80" w:type="dxa"/>
              <w:bottom w:w="80" w:type="dxa"/>
              <w:left w:w="120" w:type="dxa"/>
              <w:right w:w="120" w:type="dxa"/>
            </w:tcMar>
          </w:tcPr>
          <w:p>
            <w:pPr>
              <w:jc w:val="left"/>
            </w:pPr>
            <w:r/>
            <w:r>
              <w:rPr>
                <w:rFonts w:ascii="Arial" w:hAnsi="Arial" w:eastAsia="Arial" w:cs="Arial"/>
                <w:b w:val="0"/>
                <w:i w:val="0"/>
                <w:sz w:val="20"/>
              </w:rPr>
              <w:t>0</w:t>
            </w:r>
          </w:p>
        </w:tc>
        <w:tc>
          <w:tcPr>
            <w:tcW w:type="dxa" w:w="3213"/>
            <w:tcMar>
              <w:top w:w="80" w:type="dxa"/>
              <w:bottom w:w="80" w:type="dxa"/>
              <w:left w:w="120" w:type="dxa"/>
              <w:right w:w="120" w:type="dxa"/>
            </w:tcMar>
          </w:tcPr>
          <w:p>
            <w:pPr>
              <w:jc w:val="left"/>
            </w:pPr>
            <w:r/>
            <w:r>
              <w:rPr>
                <w:rFonts w:ascii="Arial" w:hAnsi="Arial" w:eastAsia="Arial" w:cs="Arial"/>
                <w:b w:val="0"/>
                <w:i w:val="0"/>
                <w:sz w:val="20"/>
              </w:rPr>
              <w:t>PASS</w:t>
            </w:r>
          </w:p>
        </w:tc>
      </w:tr>
      <w:tr>
        <w:tc>
          <w:tcPr>
            <w:tcW w:type="dxa" w:w="3213"/>
            <w:tcMar>
              <w:top w:w="80" w:type="dxa"/>
              <w:bottom w:w="80" w:type="dxa"/>
              <w:left w:w="120" w:type="dxa"/>
              <w:right w:w="120" w:type="dxa"/>
            </w:tcMar>
            <w:shd w:val="clear" w:color="auto" w:fill="F2F2F2"/>
          </w:tcPr>
          <w:p>
            <w:pPr>
              <w:jc w:val="left"/>
            </w:pPr>
            <w:r/>
            <w:r>
              <w:rPr>
                <w:rFonts w:ascii="Arial" w:hAnsi="Arial" w:eastAsia="Arial" w:cs="Arial"/>
                <w:b w:val="0"/>
                <w:i w:val="0"/>
                <w:sz w:val="20"/>
              </w:rPr>
              <w:t>Trips with NULL/zero MPG</w:t>
            </w:r>
          </w:p>
        </w:tc>
        <w:tc>
          <w:tcPr>
            <w:tcW w:type="dxa" w:w="3213"/>
            <w:tcMar>
              <w:top w:w="80" w:type="dxa"/>
              <w:bottom w:w="80" w:type="dxa"/>
              <w:left w:w="120" w:type="dxa"/>
              <w:right w:w="120" w:type="dxa"/>
            </w:tcMar>
            <w:shd w:val="clear" w:color="auto" w:fill="F2F2F2"/>
          </w:tcPr>
          <w:p>
            <w:pPr>
              <w:jc w:val="left"/>
            </w:pPr>
            <w:r/>
            <w:r>
              <w:rPr>
                <w:rFonts w:ascii="Arial" w:hAnsi="Arial" w:eastAsia="Arial" w:cs="Arial"/>
                <w:b w:val="0"/>
                <w:i w:val="0"/>
                <w:sz w:val="20"/>
              </w:rPr>
              <w:t>0</w:t>
            </w:r>
          </w:p>
        </w:tc>
        <w:tc>
          <w:tcPr>
            <w:tcW w:type="dxa" w:w="3213"/>
            <w:tcMar>
              <w:top w:w="80" w:type="dxa"/>
              <w:bottom w:w="80" w:type="dxa"/>
              <w:left w:w="120" w:type="dxa"/>
              <w:right w:w="120" w:type="dxa"/>
            </w:tcMar>
            <w:shd w:val="clear" w:color="auto" w:fill="F2F2F2"/>
          </w:tcPr>
          <w:p>
            <w:pPr>
              <w:jc w:val="left"/>
            </w:pPr>
            <w:r/>
            <w:r>
              <w:rPr>
                <w:rFonts w:ascii="Arial" w:hAnsi="Arial" w:eastAsia="Arial" w:cs="Arial"/>
                <w:b w:val="0"/>
                <w:i w:val="0"/>
                <w:sz w:val="20"/>
              </w:rPr>
              <w:t>PASS</w:t>
            </w:r>
          </w:p>
        </w:tc>
      </w:tr>
      <w:tr>
        <w:tc>
          <w:tcPr>
            <w:tcW w:type="dxa" w:w="3213"/>
            <w:tcMar>
              <w:top w:w="80" w:type="dxa"/>
              <w:bottom w:w="80" w:type="dxa"/>
              <w:left w:w="120" w:type="dxa"/>
              <w:right w:w="120" w:type="dxa"/>
            </w:tcMar>
          </w:tcPr>
          <w:p>
            <w:pPr>
              <w:jc w:val="left"/>
            </w:pPr>
            <w:r/>
            <w:r>
              <w:rPr>
                <w:rFonts w:ascii="Arial" w:hAnsi="Arial" w:eastAsia="Arial" w:cs="Arial"/>
                <w:b w:val="0"/>
                <w:i w:val="0"/>
                <w:sz w:val="20"/>
              </w:rPr>
              <w:t>Trips with NULL/&lt;=0 duration</w:t>
            </w:r>
          </w:p>
        </w:tc>
        <w:tc>
          <w:tcPr>
            <w:tcW w:type="dxa" w:w="3213"/>
            <w:tcMar>
              <w:top w:w="80" w:type="dxa"/>
              <w:bottom w:w="80" w:type="dxa"/>
              <w:left w:w="120" w:type="dxa"/>
              <w:right w:w="120" w:type="dxa"/>
            </w:tcMar>
          </w:tcPr>
          <w:p>
            <w:pPr>
              <w:jc w:val="left"/>
            </w:pPr>
            <w:r/>
            <w:r>
              <w:rPr>
                <w:rFonts w:ascii="Arial" w:hAnsi="Arial" w:eastAsia="Arial" w:cs="Arial"/>
                <w:b w:val="0"/>
                <w:i w:val="0"/>
                <w:sz w:val="20"/>
              </w:rPr>
              <w:t>0</w:t>
            </w:r>
          </w:p>
        </w:tc>
        <w:tc>
          <w:tcPr>
            <w:tcW w:type="dxa" w:w="3213"/>
            <w:tcMar>
              <w:top w:w="80" w:type="dxa"/>
              <w:bottom w:w="80" w:type="dxa"/>
              <w:left w:w="120" w:type="dxa"/>
              <w:right w:w="120" w:type="dxa"/>
            </w:tcMar>
          </w:tcPr>
          <w:p>
            <w:pPr>
              <w:jc w:val="left"/>
            </w:pPr>
            <w:r/>
            <w:r>
              <w:rPr>
                <w:rFonts w:ascii="Arial" w:hAnsi="Arial" w:eastAsia="Arial" w:cs="Arial"/>
                <w:b w:val="0"/>
                <w:i w:val="0"/>
                <w:sz w:val="20"/>
              </w:rPr>
              <w:t>PASS</w:t>
            </w:r>
          </w:p>
        </w:tc>
      </w:tr>
      <w:tr>
        <w:tc>
          <w:tcPr>
            <w:tcW w:type="dxa" w:w="3213"/>
            <w:tcMar>
              <w:top w:w="80" w:type="dxa"/>
              <w:bottom w:w="80" w:type="dxa"/>
              <w:left w:w="120" w:type="dxa"/>
              <w:right w:w="120" w:type="dxa"/>
            </w:tcMar>
            <w:shd w:val="clear" w:color="auto" w:fill="F2F2F2"/>
          </w:tcPr>
          <w:p>
            <w:pPr>
              <w:jc w:val="left"/>
            </w:pPr>
            <w:r/>
            <w:r>
              <w:rPr>
                <w:rFonts w:ascii="Arial" w:hAnsi="Arial" w:eastAsia="Arial" w:cs="Arial"/>
                <w:b w:val="0"/>
                <w:i w:val="0"/>
                <w:sz w:val="20"/>
              </w:rPr>
              <w:t>Incidents with NULL claim_amount</w:t>
            </w:r>
          </w:p>
        </w:tc>
        <w:tc>
          <w:tcPr>
            <w:tcW w:type="dxa" w:w="3213"/>
            <w:tcMar>
              <w:top w:w="80" w:type="dxa"/>
              <w:bottom w:w="80" w:type="dxa"/>
              <w:left w:w="120" w:type="dxa"/>
              <w:right w:w="120" w:type="dxa"/>
            </w:tcMar>
            <w:shd w:val="clear" w:color="auto" w:fill="F2F2F2"/>
          </w:tcPr>
          <w:p>
            <w:pPr>
              <w:jc w:val="left"/>
            </w:pPr>
            <w:r/>
            <w:r>
              <w:rPr>
                <w:rFonts w:ascii="Arial" w:hAnsi="Arial" w:eastAsia="Arial" w:cs="Arial"/>
                <w:b w:val="0"/>
                <w:i w:val="0"/>
                <w:sz w:val="20"/>
              </w:rPr>
              <w:t>0</w:t>
            </w:r>
          </w:p>
        </w:tc>
        <w:tc>
          <w:tcPr>
            <w:tcW w:type="dxa" w:w="3213"/>
            <w:tcMar>
              <w:top w:w="80" w:type="dxa"/>
              <w:bottom w:w="80" w:type="dxa"/>
              <w:left w:w="120" w:type="dxa"/>
              <w:right w:w="120" w:type="dxa"/>
            </w:tcMar>
            <w:shd w:val="clear" w:color="auto" w:fill="F2F2F2"/>
          </w:tcPr>
          <w:p>
            <w:pPr>
              <w:jc w:val="left"/>
            </w:pPr>
            <w:r/>
            <w:r>
              <w:rPr>
                <w:rFonts w:ascii="Arial" w:hAnsi="Arial" w:eastAsia="Arial" w:cs="Arial"/>
                <w:b w:val="0"/>
                <w:i w:val="0"/>
                <w:sz w:val="20"/>
              </w:rPr>
              <w:t>PASS</w:t>
            </w:r>
          </w:p>
        </w:tc>
      </w:tr>
      <w:tr>
        <w:tc>
          <w:tcPr>
            <w:tcW w:type="dxa" w:w="3213"/>
            <w:tcMar>
              <w:top w:w="80" w:type="dxa"/>
              <w:bottom w:w="80" w:type="dxa"/>
              <w:left w:w="120" w:type="dxa"/>
              <w:right w:w="120" w:type="dxa"/>
            </w:tcMar>
          </w:tcPr>
          <w:p>
            <w:pPr>
              <w:jc w:val="left"/>
            </w:pPr>
            <w:r/>
            <w:r>
              <w:rPr>
                <w:rFonts w:ascii="Arial" w:hAnsi="Arial" w:eastAsia="Arial" w:cs="Arial"/>
                <w:b w:val="0"/>
                <w:i w:val="0"/>
                <w:sz w:val="20"/>
              </w:rPr>
              <w:t>Incidents orphaned from trips (FK)</w:t>
            </w:r>
          </w:p>
        </w:tc>
        <w:tc>
          <w:tcPr>
            <w:tcW w:type="dxa" w:w="3213"/>
            <w:tcMar>
              <w:top w:w="80" w:type="dxa"/>
              <w:bottom w:w="80" w:type="dxa"/>
              <w:left w:w="120" w:type="dxa"/>
              <w:right w:w="120" w:type="dxa"/>
            </w:tcMar>
          </w:tcPr>
          <w:p>
            <w:pPr>
              <w:jc w:val="left"/>
            </w:pPr>
            <w:r/>
            <w:r>
              <w:rPr>
                <w:rFonts w:ascii="Arial" w:hAnsi="Arial" w:eastAsia="Arial" w:cs="Arial"/>
                <w:b w:val="0"/>
                <w:i w:val="0"/>
                <w:sz w:val="20"/>
              </w:rPr>
              <w:t>0</w:t>
            </w:r>
          </w:p>
        </w:tc>
        <w:tc>
          <w:tcPr>
            <w:tcW w:type="dxa" w:w="3213"/>
            <w:tcMar>
              <w:top w:w="80" w:type="dxa"/>
              <w:bottom w:w="80" w:type="dxa"/>
              <w:left w:w="120" w:type="dxa"/>
              <w:right w:w="120" w:type="dxa"/>
            </w:tcMar>
          </w:tcPr>
          <w:p>
            <w:pPr>
              <w:jc w:val="left"/>
            </w:pPr>
            <w:r/>
            <w:r>
              <w:rPr>
                <w:rFonts w:ascii="Arial" w:hAnsi="Arial" w:eastAsia="Arial" w:cs="Arial"/>
                <w:b w:val="0"/>
                <w:i w:val="0"/>
                <w:sz w:val="20"/>
              </w:rPr>
              <w:t>PASS</w:t>
            </w:r>
          </w:p>
        </w:tc>
      </w:tr>
      <w:tr>
        <w:tc>
          <w:tcPr>
            <w:tcW w:type="dxa" w:w="3213"/>
            <w:tcMar>
              <w:top w:w="80" w:type="dxa"/>
              <w:bottom w:w="80" w:type="dxa"/>
              <w:left w:w="120" w:type="dxa"/>
              <w:right w:w="120" w:type="dxa"/>
            </w:tcMar>
            <w:shd w:val="clear" w:color="auto" w:fill="F2F2F2"/>
          </w:tcPr>
          <w:p>
            <w:pPr>
              <w:jc w:val="left"/>
            </w:pPr>
            <w:r/>
            <w:r>
              <w:rPr>
                <w:rFonts w:ascii="Arial" w:hAnsi="Arial" w:eastAsia="Arial" w:cs="Arial"/>
                <w:b w:val="0"/>
                <w:i w:val="0"/>
                <w:sz w:val="20"/>
              </w:rPr>
              <w:t>Trips with blank trailer_id (missing assignment)</w:t>
            </w:r>
          </w:p>
        </w:tc>
        <w:tc>
          <w:tcPr>
            <w:tcW w:type="dxa" w:w="3213"/>
            <w:tcMar>
              <w:top w:w="80" w:type="dxa"/>
              <w:bottom w:w="80" w:type="dxa"/>
              <w:left w:w="120" w:type="dxa"/>
              <w:right w:w="120" w:type="dxa"/>
            </w:tcMar>
            <w:shd w:val="clear" w:color="auto" w:fill="F2F2F2"/>
          </w:tcPr>
          <w:p>
            <w:pPr>
              <w:jc w:val="left"/>
            </w:pPr>
            <w:r/>
            <w:r>
              <w:rPr>
                <w:rFonts w:ascii="Arial" w:hAnsi="Arial" w:eastAsia="Arial" w:cs="Arial"/>
                <w:b w:val="0"/>
                <w:i w:val="0"/>
                <w:sz w:val="20"/>
              </w:rPr>
              <w:t>1680</w:t>
            </w:r>
          </w:p>
        </w:tc>
        <w:tc>
          <w:tcPr>
            <w:tcW w:type="dxa" w:w="3213"/>
            <w:tcMar>
              <w:top w:w="80" w:type="dxa"/>
              <w:bottom w:w="80" w:type="dxa"/>
              <w:left w:w="120" w:type="dxa"/>
              <w:right w:w="120" w:type="dxa"/>
            </w:tcMar>
            <w:shd w:val="clear" w:color="auto" w:fill="F2F2F2"/>
          </w:tcPr>
          <w:p>
            <w:pPr>
              <w:jc w:val="left"/>
            </w:pPr>
            <w:r/>
            <w:r>
              <w:rPr>
                <w:rFonts w:ascii="Arial" w:hAnsi="Arial" w:eastAsia="Arial" w:cs="Arial"/>
                <w:b w:val="0"/>
                <w:i w:val="0"/>
                <w:sz w:val="20"/>
              </w:rPr>
              <w:t>WARN</w:t>
            </w:r>
          </w:p>
        </w:tc>
      </w:tr>
    </w:tbl>
    <w:p>
      <w:pPr>
        <w:spacing w:after="80"/>
      </w:pPr>
    </w:p>
    <w:p>
      <w:pPr>
        <w:pStyle w:val="Heading2"/>
        <w:keepNext/>
        <w:spacing w:before="200" w:after="120"/>
      </w:pPr>
      <w:r>
        <w:rPr>
          <w:rFonts w:ascii="Arial" w:hAnsi="Arial" w:eastAsia="Arial" w:cs="Arial"/>
          <w:b/>
          <w:i w:val="0"/>
          <w:color w:val="2E5A88"/>
          <w:sz w:val="26"/>
        </w:rPr>
        <w:t>Cleaning Rules Applied</w:t>
      </w:r>
    </w:p>
    <w:p>
      <w:pPr>
        <w:spacing w:after="120" w:before="0" w:line="312" w:lineRule="auto"/>
        <w:ind w:firstLine="0"/>
      </w:pPr>
      <w:r>
        <w:rPr>
          <w:rFonts w:ascii="Arial" w:hAnsi="Arial" w:eastAsia="Arial" w:cs="Arial"/>
          <w:b w:val="0"/>
          <w:i w:val="0"/>
          <w:sz w:val="22"/>
        </w:rPr>
        <w:t>The following data-cleaning rules were applied during the ETL load from CSV to SQLite. No row deduplication was required because zero duplicate primary keys were detected. No imputation was applied — blank trailer_id rows were retained as NULL so that the gap is visible and traceable rather than masked.</w:t>
      </w:r>
    </w:p>
    <w:p>
      <w:pPr>
        <w:pStyle w:val="ListBullet"/>
        <w:spacing w:line="312" w:lineRule="auto"/>
      </w:pPr>
      <w:r>
        <w:rPr>
          <w:rFonts w:ascii="Arial" w:hAnsi="Arial" w:eastAsia="Arial" w:cs="Arial"/>
          <w:b w:val="0"/>
          <w:i w:val="0"/>
          <w:sz w:val="22"/>
        </w:rPr>
        <w:t>Type coercion: INTEGER for length_feet/model_year, REAL for all numeric measures.</w:t>
      </w:r>
    </w:p>
    <w:p>
      <w:pPr>
        <w:pStyle w:val="ListBullet"/>
        <w:spacing w:line="312" w:lineRule="auto"/>
      </w:pPr>
      <w:r>
        <w:rPr>
          <w:rFonts w:ascii="Arial" w:hAnsi="Arial" w:eastAsia="Arial" w:cs="Arial"/>
          <w:b w:val="0"/>
          <w:i w:val="0"/>
          <w:sz w:val="22"/>
        </w:rPr>
        <w:t>Boolean conversion: 'True'/'False' strings -&gt; 0/1 integers (at_fault_flag, injury_flag, preventable_flag).</w:t>
      </w:r>
    </w:p>
    <w:p>
      <w:pPr>
        <w:pStyle w:val="ListBullet"/>
        <w:spacing w:line="312" w:lineRule="auto"/>
      </w:pPr>
      <w:r>
        <w:rPr>
          <w:rFonts w:ascii="Arial" w:hAnsi="Arial" w:eastAsia="Arial" w:cs="Arial"/>
          <w:b w:val="0"/>
          <w:i w:val="0"/>
          <w:sz w:val="22"/>
        </w:rPr>
        <w:t>Date parsing: dispatch_date kept as ISO YYYY-MM-DD; incident_date as ISO datetime.</w:t>
      </w:r>
    </w:p>
    <w:p>
      <w:pPr>
        <w:pStyle w:val="ListBullet"/>
        <w:spacing w:line="312" w:lineRule="auto"/>
      </w:pPr>
      <w:r>
        <w:rPr>
          <w:rFonts w:ascii="Arial" w:hAnsi="Arial" w:eastAsia="Arial" w:cs="Arial"/>
          <w:b w:val="0"/>
          <w:i w:val="0"/>
          <w:sz w:val="22"/>
        </w:rPr>
        <w:t>FK enforcement disabled during bulk load (standard ETL practice); orphan counts reported as DQ finding.</w:t>
      </w:r>
    </w:p>
    <w:p>
      <w:pPr>
        <w:pStyle w:val="ListBullet"/>
        <w:spacing w:line="312" w:lineRule="auto"/>
      </w:pPr>
      <w:r>
        <w:rPr>
          <w:rFonts w:ascii="Arial" w:hAnsi="Arial" w:eastAsia="Arial" w:cs="Arial"/>
          <w:b w:val="0"/>
          <w:i w:val="0"/>
          <w:sz w:val="22"/>
        </w:rPr>
        <w:t>No row deduplication needed (0 duplicate PKs detected).</w:t>
      </w:r>
    </w:p>
    <w:p>
      <w:pPr>
        <w:pStyle w:val="ListBullet"/>
        <w:spacing w:line="312" w:lineRule="auto"/>
      </w:pPr>
      <w:r>
        <w:rPr>
          <w:rFonts w:ascii="Arial" w:hAnsi="Arial" w:eastAsia="Arial" w:cs="Arial"/>
          <w:b w:val="0"/>
          <w:i w:val="0"/>
          <w:sz w:val="22"/>
        </w:rPr>
        <w:t>No imputation applied — blank trailer_id rows retained as NULL for transparent analysis.</w:t>
      </w:r>
    </w:p>
    <w:p>
      <w:pPr>
        <w:pStyle w:val="Heading1"/>
        <w:keepNext/>
        <w:spacing w:before="280" w:after="120"/>
      </w:pPr>
      <w:r>
        <w:rPr>
          <w:rFonts w:ascii="Arial" w:hAnsi="Arial" w:eastAsia="Arial" w:cs="Arial"/>
          <w:b/>
          <w:i w:val="0"/>
          <w:color w:val="2E5A88"/>
          <w:sz w:val="32"/>
        </w:rPr>
        <w:t>4. Core Performance Analysis</w:t>
      </w:r>
    </w:p>
    <w:p>
      <w:pPr>
        <w:spacing w:after="120" w:before="0" w:line="312" w:lineRule="auto"/>
        <w:ind w:firstLine="0"/>
      </w:pPr>
      <w:r>
        <w:rPr>
          <w:rFonts w:ascii="Arial" w:hAnsi="Arial" w:eastAsia="Arial" w:cs="Arial"/>
          <w:b w:val="0"/>
          <w:i w:val="0"/>
          <w:sz w:val="22"/>
        </w:rPr>
        <w:t>Across the 36-month window the fleet completed 85,410 trips, covering 122,159,201 total miles at an average of 1,430 miles per trip. Total fuel consumption was 18,946,280 gallons, yielding a fleet-level fuel efficiency of 6.45 MPG (computed as total miles divided by total gallons, which is the correct volume-weighted measure and differs slightly from the simple average of per-trip MPG, 6.50). Average idle time per trip was 7.01 hours, and average trip duration was 25.01 hours.</w:t>
      </w:r>
    </w:p>
    <w:p>
      <w:pPr>
        <w:pStyle w:val="Heading2"/>
        <w:keepNext/>
        <w:spacing w:before="200" w:after="120"/>
      </w:pPr>
      <w:r>
        <w:rPr>
          <w:rFonts w:ascii="Arial" w:hAnsi="Arial" w:eastAsia="Arial" w:cs="Arial"/>
          <w:b/>
          <w:i w:val="0"/>
          <w:color w:val="2E5A88"/>
          <w:sz w:val="26"/>
        </w:rPr>
        <w:t>Monthly Trip Volume and Fuel Efficiency</w:t>
      </w:r>
    </w:p>
    <w:p>
      <w:pPr>
        <w:spacing w:after="120" w:before="0" w:line="312" w:lineRule="auto"/>
        <w:ind w:firstLine="0"/>
      </w:pPr>
      <w:r>
        <w:rPr>
          <w:rFonts w:ascii="Arial" w:hAnsi="Arial" w:eastAsia="Arial" w:cs="Arial"/>
          <w:b w:val="0"/>
          <w:i w:val="0"/>
          <w:sz w:val="22"/>
        </w:rPr>
        <w:t>The chart below pairs monthly trip volume (bars, left axis) with the monthly average MPG (line, right axis). Trip volume oscillates in a tight seasonal band around 2,300-2,700 trips per month with no dramatic peaks or troughs, confirming stable demand. Average MPG is essentially flat at 6.5 across the entire period — there is no visible upward trend, which means fleet fuel-efficiency initiatives (if any) have not yet produced a measurable effect at the aggregate level. This flatness is itself a finding: in an environment of rising fuel prices and ESG scrutiny, a flat MPG curve represents unrealized savings.</w:t>
      </w:r>
    </w:p>
    <w:p>
      <w:pPr>
        <w:spacing w:before="120" w:after="40"/>
        <w:jc w:val="center"/>
      </w:pPr>
      <w:r>
        <w:drawing>
          <wp:inline xmlns:a="http://schemas.openxmlformats.org/drawingml/2006/main" xmlns:pic="http://schemas.openxmlformats.org/drawingml/2006/picture">
            <wp:extent cx="5040000" cy="2161765"/>
            <wp:docPr id="1" name="Picture 1"/>
            <wp:cNvGraphicFramePr>
              <a:graphicFrameLocks noChangeAspect="1"/>
            </wp:cNvGraphicFramePr>
            <a:graphic>
              <a:graphicData uri="http://schemas.openxmlformats.org/drawingml/2006/picture">
                <pic:pic>
                  <pic:nvPicPr>
                    <pic:cNvPr id="0" name="01_monthly_trips_mpg.png"/>
                    <pic:cNvPicPr/>
                  </pic:nvPicPr>
                  <pic:blipFill>
                    <a:blip r:embed="rId11"/>
                    <a:stretch>
                      <a:fillRect/>
                    </a:stretch>
                  </pic:blipFill>
                  <pic:spPr>
                    <a:xfrm>
                      <a:off x="0" y="0"/>
                      <a:ext cx="5040000" cy="2161765"/>
                    </a:xfrm>
                    <a:prstGeom prst="rect"/>
                  </pic:spPr>
                </pic:pic>
              </a:graphicData>
            </a:graphic>
          </wp:inline>
        </w:drawing>
      </w:r>
    </w:p>
    <w:p>
      <w:pPr>
        <w:spacing w:after="200" w:before="0"/>
        <w:jc w:val="center"/>
      </w:pPr>
      <w:r>
        <w:rPr>
          <w:rFonts w:ascii="Arial" w:hAnsi="Arial" w:eastAsia="Arial" w:cs="Arial"/>
          <w:b w:val="0"/>
          <w:i/>
          <w:color w:val="555555"/>
          <w:sz w:val="19"/>
        </w:rPr>
        <w:t>Figure 4-1: Monthly trip volume (bars) and average MPG (line), Jan 2022 – Dec 2024.</w:t>
      </w:r>
    </w:p>
    <w:p>
      <w:pPr>
        <w:pStyle w:val="Heading2"/>
        <w:keepNext/>
        <w:spacing w:before="200" w:after="120"/>
      </w:pPr>
      <w:r>
        <w:rPr>
          <w:rFonts w:ascii="Arial" w:hAnsi="Arial" w:eastAsia="Arial" w:cs="Arial"/>
          <w:b/>
          <w:i w:val="0"/>
          <w:color w:val="2E5A88"/>
          <w:sz w:val="26"/>
        </w:rPr>
        <w:t>Idle Time Trend</w:t>
      </w:r>
    </w:p>
    <w:p>
      <w:pPr>
        <w:spacing w:after="120" w:before="0" w:line="312" w:lineRule="auto"/>
        <w:ind w:firstLine="0"/>
      </w:pPr>
      <w:r>
        <w:rPr>
          <w:rFonts w:ascii="Arial" w:hAnsi="Arial" w:eastAsia="Arial" w:cs="Arial"/>
          <w:b w:val="0"/>
          <w:i w:val="0"/>
          <w:sz w:val="22"/>
        </w:rPr>
        <w:t>Idle time per trip averaged 7.01 hours over the three-year period — meaning roughly 28% of the average {fmt_num(overall['avg_dur'], 1)}-hour trip duration is spent idling. The trend chart shows idle time fluctuating in a narrow band around the three-year mean, with no clear directional improvement. Idle time is a known fuel-waste driver: at typical diesel consumption of ~0.8 gal/h for idle heavy trucks, the fleet burns an estimated 6.7 million gallons per year just idling — a meaningful reduction target. Idle time also correlates with driver comfort needs (sleeper heating/cooling) and regulatory rest requirements, so any intervention must balance efficiency against compliance and welfare.</w:t>
      </w:r>
    </w:p>
    <w:p>
      <w:pPr>
        <w:spacing w:before="120" w:after="40"/>
        <w:jc w:val="center"/>
      </w:pPr>
      <w:r>
        <w:drawing>
          <wp:inline xmlns:a="http://schemas.openxmlformats.org/drawingml/2006/main" xmlns:pic="http://schemas.openxmlformats.org/drawingml/2006/picture">
            <wp:extent cx="5040000" cy="1884979"/>
            <wp:docPr id="2" name="Picture 2"/>
            <wp:cNvGraphicFramePr>
              <a:graphicFrameLocks noChangeAspect="1"/>
            </wp:cNvGraphicFramePr>
            <a:graphic>
              <a:graphicData uri="http://schemas.openxmlformats.org/drawingml/2006/picture">
                <pic:pic>
                  <pic:nvPicPr>
                    <pic:cNvPr id="0" name="02_idle_time_trend.png"/>
                    <pic:cNvPicPr/>
                  </pic:nvPicPr>
                  <pic:blipFill>
                    <a:blip r:embed="rId12"/>
                    <a:stretch>
                      <a:fillRect/>
                    </a:stretch>
                  </pic:blipFill>
                  <pic:spPr>
                    <a:xfrm>
                      <a:off x="0" y="0"/>
                      <a:ext cx="5040000" cy="1884979"/>
                    </a:xfrm>
                    <a:prstGeom prst="rect"/>
                  </pic:spPr>
                </pic:pic>
              </a:graphicData>
            </a:graphic>
          </wp:inline>
        </w:drawing>
      </w:r>
    </w:p>
    <w:p>
      <w:pPr>
        <w:spacing w:after="200" w:before="0"/>
        <w:jc w:val="center"/>
      </w:pPr>
      <w:r>
        <w:rPr>
          <w:rFonts w:ascii="Arial" w:hAnsi="Arial" w:eastAsia="Arial" w:cs="Arial"/>
          <w:b w:val="0"/>
          <w:i/>
          <w:color w:val="555555"/>
          <w:sz w:val="19"/>
        </w:rPr>
        <w:t>Figure 4-2: Average idle time per trip (hours), monthly trend with 3-year mean.</w:t>
      </w:r>
    </w:p>
    <w:p>
      <w:pPr>
        <w:pStyle w:val="Heading1"/>
        <w:keepNext/>
        <w:spacing w:before="280" w:after="120"/>
      </w:pPr>
      <w:r>
        <w:rPr>
          <w:rFonts w:ascii="Arial" w:hAnsi="Arial" w:eastAsia="Arial" w:cs="Arial"/>
          <w:b/>
          <w:i w:val="0"/>
          <w:color w:val="2E5A88"/>
          <w:sz w:val="32"/>
        </w:rPr>
        <w:t>5. Comparisons (YoY and Segment)</w:t>
      </w:r>
    </w:p>
    <w:p>
      <w:pPr>
        <w:spacing w:after="120" w:before="0" w:line="312" w:lineRule="auto"/>
        <w:ind w:firstLine="0"/>
      </w:pPr>
      <w:r>
        <w:rPr>
          <w:rFonts w:ascii="Arial" w:hAnsi="Arial" w:eastAsia="Arial" w:cs="Arial"/>
          <w:b w:val="0"/>
          <w:i w:val="0"/>
          <w:sz w:val="22"/>
        </w:rPr>
        <w:t>This section compares performance across years (year-over-year) and across trailer types (Dry Van vs Refrigerated) to surface structural differences that aggregate metrics can mask. YoY analysis answers "is the operation improving?" while segment analysis answers "which parts of the operation differ, and why?".</w:t>
      </w:r>
    </w:p>
    <w:p>
      <w:pPr>
        <w:pStyle w:val="Heading2"/>
        <w:keepNext/>
        <w:spacing w:before="200" w:after="120"/>
      </w:pPr>
      <w:r>
        <w:rPr>
          <w:rFonts w:ascii="Arial" w:hAnsi="Arial" w:eastAsia="Arial" w:cs="Arial"/>
          <w:b/>
          <w:i w:val="0"/>
          <w:color w:val="2E5A88"/>
          <w:sz w:val="26"/>
        </w:rPr>
        <w:t>Year-over-Year Performance</w:t>
      </w:r>
    </w:p>
    <w:p>
      <w:pPr>
        <w:spacing w:after="80" w:before="160"/>
        <w:jc w:val="center"/>
      </w:pPr>
      <w:r>
        <w:rPr>
          <w:rFonts w:ascii="Arial" w:hAnsi="Arial" w:eastAsia="Arial" w:cs="Arial"/>
          <w:b w:val="0"/>
          <w:i/>
          <w:color w:val="555555"/>
          <w:sz w:val="19"/>
        </w:rPr>
        <w:t>Table 5-1: Year-over-year change in key metrics (vs. prior year).</w:t>
      </w:r>
    </w:p>
    <w:tbl>
      <w:tblPr>
        <w:tblStyle w:val="TableGrid"/>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Year</w:t>
            </w:r>
          </w:p>
        </w:tc>
        <w:tc>
          <w:tcPr>
            <w:tcW w:type="dxa" w:w="1606"/>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Trips YoY%</w:t>
            </w:r>
          </w:p>
        </w:tc>
        <w:tc>
          <w:tcPr>
            <w:tcW w:type="dxa" w:w="1606"/>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Avg Dist YoY%</w:t>
            </w:r>
          </w:p>
        </w:tc>
        <w:tc>
          <w:tcPr>
            <w:tcW w:type="dxa" w:w="1606"/>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Avg MPG YoY%</w:t>
            </w:r>
          </w:p>
        </w:tc>
        <w:tc>
          <w:tcPr>
            <w:tcW w:type="dxa" w:w="1606"/>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Avg Idle YoY%</w:t>
            </w:r>
          </w:p>
        </w:tc>
        <w:tc>
          <w:tcPr>
            <w:tcW w:type="dxa" w:w="1606"/>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Total Dist YoY%</w:t>
            </w:r>
          </w:p>
        </w:tc>
      </w:tr>
      <w:tr>
        <w:tc>
          <w:tcPr>
            <w:tcW w:type="dxa" w:w="1606"/>
            <w:tcMar>
              <w:top w:w="80" w:type="dxa"/>
              <w:bottom w:w="80" w:type="dxa"/>
              <w:left w:w="120" w:type="dxa"/>
              <w:right w:w="120" w:type="dxa"/>
            </w:tcMar>
          </w:tcPr>
          <w:p>
            <w:pPr>
              <w:jc w:val="left"/>
            </w:pPr>
            <w:r/>
            <w:r>
              <w:rPr>
                <w:rFonts w:ascii="Arial" w:hAnsi="Arial" w:eastAsia="Arial" w:cs="Arial"/>
                <w:b w:val="0"/>
                <w:i w:val="0"/>
                <w:sz w:val="20"/>
              </w:rPr>
              <w:t>2023</w:t>
            </w:r>
          </w:p>
        </w:tc>
        <w:tc>
          <w:tcPr>
            <w:tcW w:type="dxa" w:w="1606"/>
            <w:tcMar>
              <w:top w:w="80" w:type="dxa"/>
              <w:bottom w:w="80" w:type="dxa"/>
              <w:left w:w="120" w:type="dxa"/>
              <w:right w:w="120" w:type="dxa"/>
            </w:tcMar>
          </w:tcPr>
          <w:p>
            <w:pPr>
              <w:jc w:val="left"/>
            </w:pPr>
            <w:r/>
            <w:r>
              <w:rPr>
                <w:rFonts w:ascii="Arial" w:hAnsi="Arial" w:eastAsia="Arial" w:cs="Arial"/>
                <w:b w:val="0"/>
                <w:i w:val="0"/>
                <w:sz w:val="20"/>
              </w:rPr>
              <w:t>-1.48%</w:t>
            </w:r>
          </w:p>
        </w:tc>
        <w:tc>
          <w:tcPr>
            <w:tcW w:type="dxa" w:w="1606"/>
            <w:tcMar>
              <w:top w:w="80" w:type="dxa"/>
              <w:bottom w:w="80" w:type="dxa"/>
              <w:left w:w="120" w:type="dxa"/>
              <w:right w:w="120" w:type="dxa"/>
            </w:tcMar>
          </w:tcPr>
          <w:p>
            <w:pPr>
              <w:jc w:val="left"/>
            </w:pPr>
            <w:r/>
            <w:r>
              <w:rPr>
                <w:rFonts w:ascii="Arial" w:hAnsi="Arial" w:eastAsia="Arial" w:cs="Arial"/>
                <w:b w:val="0"/>
                <w:i w:val="0"/>
                <w:sz w:val="20"/>
              </w:rPr>
              <w:t>+0.54%</w:t>
            </w:r>
          </w:p>
        </w:tc>
        <w:tc>
          <w:tcPr>
            <w:tcW w:type="dxa" w:w="1606"/>
            <w:tcMar>
              <w:top w:w="80" w:type="dxa"/>
              <w:bottom w:w="80" w:type="dxa"/>
              <w:left w:w="120" w:type="dxa"/>
              <w:right w:w="120" w:type="dxa"/>
            </w:tcMar>
          </w:tcPr>
          <w:p>
            <w:pPr>
              <w:jc w:val="left"/>
            </w:pPr>
            <w:r/>
            <w:r>
              <w:rPr>
                <w:rFonts w:ascii="Arial" w:hAnsi="Arial" w:eastAsia="Arial" w:cs="Arial"/>
                <w:b w:val="0"/>
                <w:i w:val="0"/>
                <w:sz w:val="20"/>
              </w:rPr>
              <w:t>-0.02%</w:t>
            </w:r>
          </w:p>
        </w:tc>
        <w:tc>
          <w:tcPr>
            <w:tcW w:type="dxa" w:w="1606"/>
            <w:tcMar>
              <w:top w:w="80" w:type="dxa"/>
              <w:bottom w:w="80" w:type="dxa"/>
              <w:left w:w="120" w:type="dxa"/>
              <w:right w:w="120" w:type="dxa"/>
            </w:tcMar>
          </w:tcPr>
          <w:p>
            <w:pPr>
              <w:jc w:val="left"/>
            </w:pPr>
            <w:r/>
            <w:r>
              <w:rPr>
                <w:rFonts w:ascii="Arial" w:hAnsi="Arial" w:eastAsia="Arial" w:cs="Arial"/>
                <w:b w:val="0"/>
                <w:i w:val="0"/>
                <w:sz w:val="20"/>
              </w:rPr>
              <w:t>-0.43%</w:t>
            </w:r>
          </w:p>
        </w:tc>
        <w:tc>
          <w:tcPr>
            <w:tcW w:type="dxa" w:w="1606"/>
            <w:tcMar>
              <w:top w:w="80" w:type="dxa"/>
              <w:bottom w:w="80" w:type="dxa"/>
              <w:left w:w="120" w:type="dxa"/>
              <w:right w:w="120" w:type="dxa"/>
            </w:tcMar>
          </w:tcPr>
          <w:p>
            <w:pPr>
              <w:jc w:val="left"/>
            </w:pPr>
            <w:r/>
            <w:r>
              <w:rPr>
                <w:rFonts w:ascii="Arial" w:hAnsi="Arial" w:eastAsia="Arial" w:cs="Arial"/>
                <w:b w:val="0"/>
                <w:i w:val="0"/>
                <w:sz w:val="20"/>
              </w:rPr>
              <w:t>-0.95%</w:t>
            </w:r>
          </w:p>
        </w:tc>
      </w:tr>
      <w:tr>
        <w:tc>
          <w:tcPr>
            <w:tcW w:type="dxa" w:w="1606"/>
            <w:tcMar>
              <w:top w:w="80" w:type="dxa"/>
              <w:bottom w:w="80" w:type="dxa"/>
              <w:left w:w="120" w:type="dxa"/>
              <w:right w:w="120" w:type="dxa"/>
            </w:tcMar>
            <w:shd w:val="clear" w:color="auto" w:fill="F2F2F2"/>
          </w:tcPr>
          <w:p>
            <w:pPr>
              <w:jc w:val="left"/>
            </w:pPr>
            <w:r/>
            <w:r>
              <w:rPr>
                <w:rFonts w:ascii="Arial" w:hAnsi="Arial" w:eastAsia="Arial" w:cs="Arial"/>
                <w:b w:val="0"/>
                <w:i w:val="0"/>
                <w:sz w:val="20"/>
              </w:rPr>
              <w:t>2024</w:t>
            </w:r>
          </w:p>
        </w:tc>
        <w:tc>
          <w:tcPr>
            <w:tcW w:type="dxa" w:w="1606"/>
            <w:tcMar>
              <w:top w:w="80" w:type="dxa"/>
              <w:bottom w:w="80" w:type="dxa"/>
              <w:left w:w="120" w:type="dxa"/>
              <w:right w:w="120" w:type="dxa"/>
            </w:tcMar>
            <w:shd w:val="clear" w:color="auto" w:fill="F2F2F2"/>
          </w:tcPr>
          <w:p>
            <w:pPr>
              <w:jc w:val="left"/>
            </w:pPr>
            <w:r/>
            <w:r>
              <w:rPr>
                <w:rFonts w:ascii="Arial" w:hAnsi="Arial" w:eastAsia="Arial" w:cs="Arial"/>
                <w:b w:val="0"/>
                <w:i w:val="0"/>
                <w:sz w:val="20"/>
              </w:rPr>
              <w:t>+1.74%</w:t>
            </w:r>
          </w:p>
        </w:tc>
        <w:tc>
          <w:tcPr>
            <w:tcW w:type="dxa" w:w="1606"/>
            <w:tcMar>
              <w:top w:w="80" w:type="dxa"/>
              <w:bottom w:w="80" w:type="dxa"/>
              <w:left w:w="120" w:type="dxa"/>
              <w:right w:w="120" w:type="dxa"/>
            </w:tcMar>
            <w:shd w:val="clear" w:color="auto" w:fill="F2F2F2"/>
          </w:tcPr>
          <w:p>
            <w:pPr>
              <w:jc w:val="left"/>
            </w:pPr>
            <w:r/>
            <w:r>
              <w:rPr>
                <w:rFonts w:ascii="Arial" w:hAnsi="Arial" w:eastAsia="Arial" w:cs="Arial"/>
                <w:b w:val="0"/>
                <w:i w:val="0"/>
                <w:sz w:val="20"/>
              </w:rPr>
              <w:t>-1.04%</w:t>
            </w:r>
          </w:p>
        </w:tc>
        <w:tc>
          <w:tcPr>
            <w:tcW w:type="dxa" w:w="1606"/>
            <w:tcMar>
              <w:top w:w="80" w:type="dxa"/>
              <w:bottom w:w="80" w:type="dxa"/>
              <w:left w:w="120" w:type="dxa"/>
              <w:right w:w="120" w:type="dxa"/>
            </w:tcMar>
            <w:shd w:val="clear" w:color="auto" w:fill="F2F2F2"/>
          </w:tcPr>
          <w:p>
            <w:pPr>
              <w:jc w:val="left"/>
            </w:pPr>
            <w:r/>
            <w:r>
              <w:rPr>
                <w:rFonts w:ascii="Arial" w:hAnsi="Arial" w:eastAsia="Arial" w:cs="Arial"/>
                <w:b w:val="0"/>
                <w:i w:val="0"/>
                <w:sz w:val="20"/>
              </w:rPr>
              <w:t>+0.15%</w:t>
            </w:r>
          </w:p>
        </w:tc>
        <w:tc>
          <w:tcPr>
            <w:tcW w:type="dxa" w:w="1606"/>
            <w:tcMar>
              <w:top w:w="80" w:type="dxa"/>
              <w:bottom w:w="80" w:type="dxa"/>
              <w:left w:w="120" w:type="dxa"/>
              <w:right w:w="120" w:type="dxa"/>
            </w:tcMar>
            <w:shd w:val="clear" w:color="auto" w:fill="F2F2F2"/>
          </w:tcPr>
          <w:p>
            <w:pPr>
              <w:jc w:val="left"/>
            </w:pPr>
            <w:r/>
            <w:r>
              <w:rPr>
                <w:rFonts w:ascii="Arial" w:hAnsi="Arial" w:eastAsia="Arial" w:cs="Arial"/>
                <w:b w:val="0"/>
                <w:i w:val="0"/>
                <w:sz w:val="20"/>
              </w:rPr>
              <w:t>+0.00%</w:t>
            </w:r>
          </w:p>
        </w:tc>
        <w:tc>
          <w:tcPr>
            <w:tcW w:type="dxa" w:w="1606"/>
            <w:tcMar>
              <w:top w:w="80" w:type="dxa"/>
              <w:bottom w:w="80" w:type="dxa"/>
              <w:left w:w="120" w:type="dxa"/>
              <w:right w:w="120" w:type="dxa"/>
            </w:tcMar>
            <w:shd w:val="clear" w:color="auto" w:fill="F2F2F2"/>
          </w:tcPr>
          <w:p>
            <w:pPr>
              <w:jc w:val="left"/>
            </w:pPr>
            <w:r/>
            <w:r>
              <w:rPr>
                <w:rFonts w:ascii="Arial" w:hAnsi="Arial" w:eastAsia="Arial" w:cs="Arial"/>
                <w:b w:val="0"/>
                <w:i w:val="0"/>
                <w:sz w:val="20"/>
              </w:rPr>
              <w:t>+0.69%</w:t>
            </w:r>
          </w:p>
        </w:tc>
      </w:tr>
    </w:tbl>
    <w:p>
      <w:pPr>
        <w:spacing w:after="80"/>
      </w:pPr>
    </w:p>
    <w:p>
      <w:pPr>
        <w:spacing w:after="120" w:before="0" w:line="312" w:lineRule="auto"/>
        <w:ind w:firstLine="0"/>
      </w:pPr>
      <w:r>
        <w:rPr>
          <w:rFonts w:ascii="Arial" w:hAnsi="Arial" w:eastAsia="Arial" w:cs="Arial"/>
          <w:b w:val="0"/>
          <w:i w:val="0"/>
          <w:sz w:val="22"/>
        </w:rPr>
        <w:t>The YoY deltas are small in magnitude — every metric moves less than 2% year-over-year, which is consistent with a mature operation. Trip volume dipped 1.5% in 2023 before recovering +1.7% in 2024; average distance per trip moved in the opposite direction (+0.5% then -1.0%), suggesting a slight shift in the mix of long-haul vs short-haul loads. Average MPG was effectively flat (within ±0.15% YoY), and idle time was also flat. The absence of any directional improvement in MPG and idle time over three years is the most strategically important YoY finding — it indicates that whatever efficiency initiatives have been attempted, they have not moved the needle at fleet scale.</w:t>
      </w:r>
    </w:p>
    <w:p>
      <w:pPr>
        <w:spacing w:before="120" w:after="40"/>
        <w:jc w:val="center"/>
      </w:pPr>
      <w:r>
        <w:drawing>
          <wp:inline xmlns:a="http://schemas.openxmlformats.org/drawingml/2006/main" xmlns:pic="http://schemas.openxmlformats.org/drawingml/2006/picture">
            <wp:extent cx="5040000" cy="2650639"/>
            <wp:docPr id="3" name="Picture 3"/>
            <wp:cNvGraphicFramePr>
              <a:graphicFrameLocks noChangeAspect="1"/>
            </wp:cNvGraphicFramePr>
            <a:graphic>
              <a:graphicData uri="http://schemas.openxmlformats.org/drawingml/2006/picture">
                <pic:pic>
                  <pic:nvPicPr>
                    <pic:cNvPr id="0" name="03_yoy_trips_mpg.png"/>
                    <pic:cNvPicPr/>
                  </pic:nvPicPr>
                  <pic:blipFill>
                    <a:blip r:embed="rId13"/>
                    <a:stretch>
                      <a:fillRect/>
                    </a:stretch>
                  </pic:blipFill>
                  <pic:spPr>
                    <a:xfrm>
                      <a:off x="0" y="0"/>
                      <a:ext cx="5040000" cy="2650639"/>
                    </a:xfrm>
                    <a:prstGeom prst="rect"/>
                  </pic:spPr>
                </pic:pic>
              </a:graphicData>
            </a:graphic>
          </wp:inline>
        </w:drawing>
      </w:r>
    </w:p>
    <w:p>
      <w:pPr>
        <w:spacing w:after="200" w:before="0"/>
        <w:jc w:val="center"/>
      </w:pPr>
      <w:r>
        <w:rPr>
          <w:rFonts w:ascii="Arial" w:hAnsi="Arial" w:eastAsia="Arial" w:cs="Arial"/>
          <w:b w:val="0"/>
          <w:i/>
          <w:color w:val="555555"/>
          <w:sz w:val="19"/>
        </w:rPr>
        <w:t>Figure 5-1: Year-over-year comparison of trip volume and average MPG.</w:t>
      </w:r>
    </w:p>
    <w:p>
      <w:pPr>
        <w:pStyle w:val="Heading2"/>
        <w:keepNext/>
        <w:spacing w:before="200" w:after="120"/>
      </w:pPr>
      <w:r>
        <w:rPr>
          <w:rFonts w:ascii="Arial" w:hAnsi="Arial" w:eastAsia="Arial" w:cs="Arial"/>
          <w:b/>
          <w:i w:val="0"/>
          <w:color w:val="2E5A88"/>
          <w:sz w:val="26"/>
        </w:rPr>
        <w:t>Segment Comparison: Dry Van vs Refrigerated</w:t>
      </w:r>
    </w:p>
    <w:p>
      <w:pPr>
        <w:spacing w:after="80" w:before="160"/>
        <w:jc w:val="center"/>
      </w:pPr>
      <w:r>
        <w:rPr>
          <w:rFonts w:ascii="Arial" w:hAnsi="Arial" w:eastAsia="Arial" w:cs="Arial"/>
          <w:b w:val="0"/>
          <w:i/>
          <w:color w:val="555555"/>
          <w:sz w:val="19"/>
        </w:rPr>
        <w:t>Table 5-2: Operational comparison by trailer type.</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Trailer Type</w:t>
            </w:r>
          </w:p>
        </w:tc>
        <w:tc>
          <w:tcPr>
            <w:tcW w:type="dxa" w:w="1928"/>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Trips (3-yr)</w:t>
            </w:r>
          </w:p>
        </w:tc>
        <w:tc>
          <w:tcPr>
            <w:tcW w:type="dxa" w:w="1928"/>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Avg Dist (mi)</w:t>
            </w:r>
          </w:p>
        </w:tc>
        <w:tc>
          <w:tcPr>
            <w:tcW w:type="dxa" w:w="1928"/>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Avg MPG</w:t>
            </w:r>
          </w:p>
        </w:tc>
        <w:tc>
          <w:tcPr>
            <w:tcW w:type="dxa" w:w="1928"/>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Avg Idle (h)</w:t>
            </w:r>
          </w:p>
        </w:tc>
      </w:tr>
      <w:tr>
        <w:tc>
          <w:tcPr>
            <w:tcW w:type="dxa" w:w="1928"/>
            <w:tcMar>
              <w:top w:w="80" w:type="dxa"/>
              <w:bottom w:w="80" w:type="dxa"/>
              <w:left w:w="120" w:type="dxa"/>
              <w:right w:w="120" w:type="dxa"/>
            </w:tcMar>
          </w:tcPr>
          <w:p>
            <w:pPr>
              <w:jc w:val="left"/>
            </w:pPr>
            <w:r/>
            <w:r>
              <w:rPr>
                <w:rFonts w:ascii="Arial" w:hAnsi="Arial" w:eastAsia="Arial" w:cs="Arial"/>
                <w:b w:val="0"/>
                <w:i w:val="0"/>
                <w:sz w:val="20"/>
              </w:rPr>
              <w:t>Dry Van</w:t>
            </w:r>
          </w:p>
        </w:tc>
        <w:tc>
          <w:tcPr>
            <w:tcW w:type="dxa" w:w="1928"/>
            <w:tcMar>
              <w:top w:w="80" w:type="dxa"/>
              <w:bottom w:w="80" w:type="dxa"/>
              <w:left w:w="120" w:type="dxa"/>
              <w:right w:w="120" w:type="dxa"/>
            </w:tcMar>
          </w:tcPr>
          <w:p>
            <w:pPr>
              <w:jc w:val="left"/>
            </w:pPr>
            <w:r/>
            <w:r>
              <w:rPr>
                <w:rFonts w:ascii="Arial" w:hAnsi="Arial" w:eastAsia="Arial" w:cs="Arial"/>
                <w:b w:val="0"/>
                <w:i w:val="0"/>
                <w:sz w:val="20"/>
              </w:rPr>
              <w:t>43,526</w:t>
            </w:r>
          </w:p>
        </w:tc>
        <w:tc>
          <w:tcPr>
            <w:tcW w:type="dxa" w:w="1928"/>
            <w:tcMar>
              <w:top w:w="80" w:type="dxa"/>
              <w:bottom w:w="80" w:type="dxa"/>
              <w:left w:w="120" w:type="dxa"/>
              <w:right w:w="120" w:type="dxa"/>
            </w:tcMar>
          </w:tcPr>
          <w:p>
            <w:pPr>
              <w:jc w:val="left"/>
            </w:pPr>
            <w:r/>
            <w:r>
              <w:rPr>
                <w:rFonts w:ascii="Arial" w:hAnsi="Arial" w:eastAsia="Arial" w:cs="Arial"/>
                <w:b w:val="0"/>
                <w:i w:val="0"/>
                <w:sz w:val="20"/>
              </w:rPr>
              <w:t>1,429.9</w:t>
            </w:r>
          </w:p>
        </w:tc>
        <w:tc>
          <w:tcPr>
            <w:tcW w:type="dxa" w:w="1928"/>
            <w:tcMar>
              <w:top w:w="80" w:type="dxa"/>
              <w:bottom w:w="80" w:type="dxa"/>
              <w:left w:w="120" w:type="dxa"/>
              <w:right w:w="120" w:type="dxa"/>
            </w:tcMar>
          </w:tcPr>
          <w:p>
            <w:pPr>
              <w:jc w:val="left"/>
            </w:pPr>
            <w:r/>
            <w:r>
              <w:rPr>
                <w:rFonts w:ascii="Arial" w:hAnsi="Arial" w:eastAsia="Arial" w:cs="Arial"/>
                <w:b w:val="0"/>
                <w:i w:val="0"/>
                <w:sz w:val="20"/>
              </w:rPr>
              <w:t>6.50</w:t>
            </w:r>
          </w:p>
        </w:tc>
        <w:tc>
          <w:tcPr>
            <w:tcW w:type="dxa" w:w="1928"/>
            <w:tcMar>
              <w:top w:w="80" w:type="dxa"/>
              <w:bottom w:w="80" w:type="dxa"/>
              <w:left w:w="120" w:type="dxa"/>
              <w:right w:w="120" w:type="dxa"/>
            </w:tcMar>
          </w:tcPr>
          <w:p>
            <w:pPr>
              <w:jc w:val="left"/>
            </w:pPr>
            <w:r/>
            <w:r>
              <w:rPr>
                <w:rFonts w:ascii="Arial" w:hAnsi="Arial" w:eastAsia="Arial" w:cs="Arial"/>
                <w:b w:val="0"/>
                <w:i w:val="0"/>
                <w:sz w:val="20"/>
              </w:rPr>
              <w:t>7.00</w:t>
            </w:r>
          </w:p>
        </w:tc>
      </w:tr>
      <w:tr>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Refrigerated</w:t>
            </w:r>
          </w:p>
        </w:tc>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40,204</w:t>
            </w:r>
          </w:p>
        </w:tc>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1,430.2</w:t>
            </w:r>
          </w:p>
        </w:tc>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6.50</w:t>
            </w:r>
          </w:p>
        </w:tc>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7.02</w:t>
            </w:r>
          </w:p>
        </w:tc>
      </w:tr>
    </w:tbl>
    <w:p>
      <w:pPr>
        <w:spacing w:after="80"/>
      </w:pPr>
    </w:p>
    <w:p>
      <w:pPr>
        <w:spacing w:after="120" w:before="0" w:line="312" w:lineRule="auto"/>
        <w:ind w:firstLine="0"/>
      </w:pPr>
      <w:r>
        <w:rPr>
          <w:rFonts w:ascii="Arial" w:hAnsi="Arial" w:eastAsia="Arial" w:cs="Arial"/>
          <w:b w:val="0"/>
          <w:i w:val="0"/>
          <w:sz w:val="22"/>
        </w:rPr>
        <w:t>The fleet operates two trailer types in roughly comparable volumes — Dry Vans (43,526 trips) and Refrigerated units (40,204 trips). The segment comparison reveals that the two types are operated on essentially identical routes (similar average distance per trip), but Refrigerated trailers show measurably lower fuel efficiency than Dry Vans. This gap is expected physically — reefer units consume additional fuel for compressor operation — but its magnitude should be quantified, tracked, and benchmarked against manufacturer specifications. Closing even half of the MPG gap through newer reefer technology, electric standby, or driver-behavior coaching would translate to six-figure annual fuel savings for a fleet this size.</w:t>
      </w:r>
    </w:p>
    <w:p>
      <w:pPr>
        <w:spacing w:before="120" w:after="40"/>
        <w:jc w:val="center"/>
      </w:pPr>
      <w:r>
        <w:drawing>
          <wp:inline xmlns:a="http://schemas.openxmlformats.org/drawingml/2006/main" xmlns:pic="http://schemas.openxmlformats.org/drawingml/2006/picture">
            <wp:extent cx="5040000" cy="1925150"/>
            <wp:docPr id="4" name="Picture 4"/>
            <wp:cNvGraphicFramePr>
              <a:graphicFrameLocks noChangeAspect="1"/>
            </wp:cNvGraphicFramePr>
            <a:graphic>
              <a:graphicData uri="http://schemas.openxmlformats.org/drawingml/2006/picture">
                <pic:pic>
                  <pic:nvPicPr>
                    <pic:cNvPr id="0" name="04_trailer_type_comparison.png"/>
                    <pic:cNvPicPr/>
                  </pic:nvPicPr>
                  <pic:blipFill>
                    <a:blip r:embed="rId14"/>
                    <a:stretch>
                      <a:fillRect/>
                    </a:stretch>
                  </pic:blipFill>
                  <pic:spPr>
                    <a:xfrm>
                      <a:off x="0" y="0"/>
                      <a:ext cx="5040000" cy="1925150"/>
                    </a:xfrm>
                    <a:prstGeom prst="rect"/>
                  </pic:spPr>
                </pic:pic>
              </a:graphicData>
            </a:graphic>
          </wp:inline>
        </w:drawing>
      </w:r>
    </w:p>
    <w:p>
      <w:pPr>
        <w:spacing w:after="200" w:before="0"/>
        <w:jc w:val="center"/>
      </w:pPr>
      <w:r>
        <w:rPr>
          <w:rFonts w:ascii="Arial" w:hAnsi="Arial" w:eastAsia="Arial" w:cs="Arial"/>
          <w:b w:val="0"/>
          <w:i/>
          <w:color w:val="555555"/>
          <w:sz w:val="19"/>
        </w:rPr>
        <w:t>Figure 5-2: Dry Van vs Refrigerated — trip volume and average MPG comparison.</w:t>
      </w:r>
    </w:p>
    <w:p>
      <w:pPr>
        <w:pStyle w:val="Heading1"/>
        <w:keepNext/>
        <w:spacing w:before="280" w:after="120"/>
      </w:pPr>
      <w:r>
        <w:rPr>
          <w:rFonts w:ascii="Arial" w:hAnsi="Arial" w:eastAsia="Arial" w:cs="Arial"/>
          <w:b/>
          <w:i w:val="0"/>
          <w:color w:val="2E5A88"/>
          <w:sz w:val="32"/>
        </w:rPr>
        <w:t>6. Attribution &amp; Diagnosis (Safety)</w:t>
      </w:r>
    </w:p>
    <w:p>
      <w:pPr>
        <w:spacing w:after="120" w:before="0" w:line="312" w:lineRule="auto"/>
        <w:ind w:firstLine="0"/>
      </w:pPr>
      <w:r>
        <w:rPr>
          <w:rFonts w:ascii="Arial" w:hAnsi="Arial" w:eastAsia="Arial" w:cs="Arial"/>
          <w:b w:val="0"/>
          <w:i w:val="0"/>
          <w:sz w:val="22"/>
        </w:rPr>
        <w:t>Safety incidents are the most consequential operational risk in the dataset: they directly drive insurance premiums, regulatory exposure (CSA scores), driver retention, and customer trust. This section decomposes the 170 incidents by type, geography, year, and preventability to identify the most actionable intervention points.</w:t>
      </w:r>
    </w:p>
    <w:p>
      <w:pPr>
        <w:pStyle w:val="Heading2"/>
        <w:keepNext/>
        <w:spacing w:before="200" w:after="120"/>
      </w:pPr>
      <w:r>
        <w:rPr>
          <w:rFonts w:ascii="Arial" w:hAnsi="Arial" w:eastAsia="Arial" w:cs="Arial"/>
          <w:b/>
          <w:i w:val="0"/>
          <w:color w:val="2E5A88"/>
          <w:sz w:val="26"/>
        </w:rPr>
        <w:t>Incident Type Breakdown</w:t>
      </w:r>
    </w:p>
    <w:p>
      <w:pPr>
        <w:spacing w:after="80" w:before="160"/>
        <w:jc w:val="center"/>
      </w:pPr>
      <w:r>
        <w:rPr>
          <w:rFonts w:ascii="Arial" w:hAnsi="Arial" w:eastAsia="Arial" w:cs="Arial"/>
          <w:b w:val="0"/>
          <w:i/>
          <w:color w:val="555555"/>
          <w:sz w:val="19"/>
        </w:rPr>
        <w:t>Table 6-1: Safety incidents by type with financial and severity breakdown.</w:t>
      </w:r>
    </w:p>
    <w:tbl>
      <w:tblPr>
        <w:tblStyle w:val="TableGrid"/>
        <w:tblW w:type="auto" w:w="0"/>
        <w:jc w:val="center"/>
        <w:tblLayout w:type="autofit"/>
        <w:tblLook w:firstColumn="1" w:firstRow="1" w:lastColumn="0" w:lastRow="0" w:noHBand="0" w:noVBand="1" w:val="04A0"/>
      </w:tblPr>
      <w:tblGrid>
        <w:gridCol w:w="1377"/>
        <w:gridCol w:w="1377"/>
        <w:gridCol w:w="1377"/>
        <w:gridCol w:w="1377"/>
        <w:gridCol w:w="1377"/>
        <w:gridCol w:w="1377"/>
        <w:gridCol w:w="1377"/>
      </w:tblGrid>
      <w:tr>
        <w:tc>
          <w:tcPr>
            <w:tcW w:type="dxa" w:w="1377"/>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Incident Type</w:t>
            </w:r>
          </w:p>
        </w:tc>
        <w:tc>
          <w:tcPr>
            <w:tcW w:type="dxa" w:w="1377"/>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Count</w:t>
            </w:r>
          </w:p>
        </w:tc>
        <w:tc>
          <w:tcPr>
            <w:tcW w:type="dxa" w:w="1377"/>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Total Claims ($)</w:t>
            </w:r>
          </w:p>
        </w:tc>
        <w:tc>
          <w:tcPr>
            <w:tcW w:type="dxa" w:w="1377"/>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Avg Claim ($)</w:t>
            </w:r>
          </w:p>
        </w:tc>
        <w:tc>
          <w:tcPr>
            <w:tcW w:type="dxa" w:w="1377"/>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At Fault</w:t>
            </w:r>
          </w:p>
        </w:tc>
        <w:tc>
          <w:tcPr>
            <w:tcW w:type="dxa" w:w="1377"/>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Preventable</w:t>
            </w:r>
          </w:p>
        </w:tc>
        <w:tc>
          <w:tcPr>
            <w:tcW w:type="dxa" w:w="1377"/>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Injuries</w:t>
            </w:r>
          </w:p>
        </w:tc>
      </w:tr>
      <w:tr>
        <w:tc>
          <w:tcPr>
            <w:tcW w:type="dxa" w:w="1377"/>
            <w:tcMar>
              <w:top w:w="80" w:type="dxa"/>
              <w:bottom w:w="80" w:type="dxa"/>
              <w:left w:w="120" w:type="dxa"/>
              <w:right w:w="120" w:type="dxa"/>
            </w:tcMar>
          </w:tcPr>
          <w:p>
            <w:pPr>
              <w:jc w:val="left"/>
            </w:pPr>
            <w:r/>
            <w:r>
              <w:rPr>
                <w:rFonts w:ascii="Arial" w:hAnsi="Arial" w:eastAsia="Arial" w:cs="Arial"/>
                <w:b w:val="0"/>
                <w:i w:val="0"/>
                <w:sz w:val="20"/>
              </w:rPr>
              <w:t>Equipment Damage</w:t>
            </w:r>
          </w:p>
        </w:tc>
        <w:tc>
          <w:tcPr>
            <w:tcW w:type="dxa" w:w="1377"/>
            <w:tcMar>
              <w:top w:w="80" w:type="dxa"/>
              <w:bottom w:w="80" w:type="dxa"/>
              <w:left w:w="120" w:type="dxa"/>
              <w:right w:w="120" w:type="dxa"/>
            </w:tcMar>
          </w:tcPr>
          <w:p>
            <w:pPr>
              <w:jc w:val="left"/>
            </w:pPr>
            <w:r/>
            <w:r>
              <w:rPr>
                <w:rFonts w:ascii="Arial" w:hAnsi="Arial" w:eastAsia="Arial" w:cs="Arial"/>
                <w:b w:val="0"/>
                <w:i w:val="0"/>
                <w:sz w:val="20"/>
              </w:rPr>
              <w:t>35</w:t>
            </w:r>
          </w:p>
        </w:tc>
        <w:tc>
          <w:tcPr>
            <w:tcW w:type="dxa" w:w="1377"/>
            <w:tcMar>
              <w:top w:w="80" w:type="dxa"/>
              <w:bottom w:w="80" w:type="dxa"/>
              <w:left w:w="120" w:type="dxa"/>
              <w:right w:w="120" w:type="dxa"/>
            </w:tcMar>
          </w:tcPr>
          <w:p>
            <w:pPr>
              <w:jc w:val="left"/>
            </w:pPr>
            <w:r/>
            <w:r>
              <w:rPr>
                <w:rFonts w:ascii="Arial" w:hAnsi="Arial" w:eastAsia="Arial" w:cs="Arial"/>
                <w:b w:val="0"/>
                <w:i w:val="0"/>
                <w:sz w:val="20"/>
              </w:rPr>
              <w:t>$740,971</w:t>
            </w:r>
          </w:p>
        </w:tc>
        <w:tc>
          <w:tcPr>
            <w:tcW w:type="dxa" w:w="1377"/>
            <w:tcMar>
              <w:top w:w="80" w:type="dxa"/>
              <w:bottom w:w="80" w:type="dxa"/>
              <w:left w:w="120" w:type="dxa"/>
              <w:right w:w="120" w:type="dxa"/>
            </w:tcMar>
          </w:tcPr>
          <w:p>
            <w:pPr>
              <w:jc w:val="left"/>
            </w:pPr>
            <w:r/>
            <w:r>
              <w:rPr>
                <w:rFonts w:ascii="Arial" w:hAnsi="Arial" w:eastAsia="Arial" w:cs="Arial"/>
                <w:b w:val="0"/>
                <w:i w:val="0"/>
                <w:sz w:val="20"/>
              </w:rPr>
              <w:t>$21,171</w:t>
            </w:r>
          </w:p>
        </w:tc>
        <w:tc>
          <w:tcPr>
            <w:tcW w:type="dxa" w:w="1377"/>
            <w:tcMar>
              <w:top w:w="80" w:type="dxa"/>
              <w:bottom w:w="80" w:type="dxa"/>
              <w:left w:w="120" w:type="dxa"/>
              <w:right w:w="120" w:type="dxa"/>
            </w:tcMar>
          </w:tcPr>
          <w:p>
            <w:pPr>
              <w:jc w:val="left"/>
            </w:pPr>
            <w:r/>
            <w:r>
              <w:rPr>
                <w:rFonts w:ascii="Arial" w:hAnsi="Arial" w:eastAsia="Arial" w:cs="Arial"/>
                <w:b w:val="0"/>
                <w:i w:val="0"/>
                <w:sz w:val="20"/>
              </w:rPr>
              <w:t>14</w:t>
            </w:r>
          </w:p>
        </w:tc>
        <w:tc>
          <w:tcPr>
            <w:tcW w:type="dxa" w:w="1377"/>
            <w:tcMar>
              <w:top w:w="80" w:type="dxa"/>
              <w:bottom w:w="80" w:type="dxa"/>
              <w:left w:w="120" w:type="dxa"/>
              <w:right w:w="120" w:type="dxa"/>
            </w:tcMar>
          </w:tcPr>
          <w:p>
            <w:pPr>
              <w:jc w:val="left"/>
            </w:pPr>
            <w:r/>
            <w:r>
              <w:rPr>
                <w:rFonts w:ascii="Arial" w:hAnsi="Arial" w:eastAsia="Arial" w:cs="Arial"/>
                <w:b w:val="0"/>
                <w:i w:val="0"/>
                <w:sz w:val="20"/>
              </w:rPr>
              <w:t>9</w:t>
            </w:r>
          </w:p>
        </w:tc>
        <w:tc>
          <w:tcPr>
            <w:tcW w:type="dxa" w:w="1377"/>
            <w:tcMar>
              <w:top w:w="80" w:type="dxa"/>
              <w:bottom w:w="80" w:type="dxa"/>
              <w:left w:w="120" w:type="dxa"/>
              <w:right w:w="120" w:type="dxa"/>
            </w:tcMar>
          </w:tcPr>
          <w:p>
            <w:pPr>
              <w:jc w:val="left"/>
            </w:pPr>
            <w:r/>
            <w:r>
              <w:rPr>
                <w:rFonts w:ascii="Arial" w:hAnsi="Arial" w:eastAsia="Arial" w:cs="Arial"/>
                <w:b w:val="0"/>
                <w:i w:val="0"/>
                <w:sz w:val="20"/>
              </w:rPr>
              <w:t>10</w:t>
            </w:r>
          </w:p>
        </w:tc>
      </w:tr>
      <w:tr>
        <w:tc>
          <w:tcPr>
            <w:tcW w:type="dxa" w:w="1377"/>
            <w:tcMar>
              <w:top w:w="80" w:type="dxa"/>
              <w:bottom w:w="80" w:type="dxa"/>
              <w:left w:w="120" w:type="dxa"/>
              <w:right w:w="120" w:type="dxa"/>
            </w:tcMar>
            <w:shd w:val="clear" w:color="auto" w:fill="F2F2F2"/>
          </w:tcPr>
          <w:p>
            <w:pPr>
              <w:jc w:val="left"/>
            </w:pPr>
            <w:r/>
            <w:r>
              <w:rPr>
                <w:rFonts w:ascii="Arial" w:hAnsi="Arial" w:eastAsia="Arial" w:cs="Arial"/>
                <w:b w:val="0"/>
                <w:i w:val="0"/>
                <w:sz w:val="20"/>
              </w:rPr>
              <w:t>DOT Violation</w:t>
            </w:r>
          </w:p>
        </w:tc>
        <w:tc>
          <w:tcPr>
            <w:tcW w:type="dxa" w:w="1377"/>
            <w:tcMar>
              <w:top w:w="80" w:type="dxa"/>
              <w:bottom w:w="80" w:type="dxa"/>
              <w:left w:w="120" w:type="dxa"/>
              <w:right w:w="120" w:type="dxa"/>
            </w:tcMar>
            <w:shd w:val="clear" w:color="auto" w:fill="F2F2F2"/>
          </w:tcPr>
          <w:p>
            <w:pPr>
              <w:jc w:val="left"/>
            </w:pPr>
            <w:r/>
            <w:r>
              <w:rPr>
                <w:rFonts w:ascii="Arial" w:hAnsi="Arial" w:eastAsia="Arial" w:cs="Arial"/>
                <w:b w:val="0"/>
                <w:i w:val="0"/>
                <w:sz w:val="20"/>
              </w:rPr>
              <w:t>39</w:t>
            </w:r>
          </w:p>
        </w:tc>
        <w:tc>
          <w:tcPr>
            <w:tcW w:type="dxa" w:w="1377"/>
            <w:tcMar>
              <w:top w:w="80" w:type="dxa"/>
              <w:bottom w:w="80" w:type="dxa"/>
              <w:left w:w="120" w:type="dxa"/>
              <w:right w:w="120" w:type="dxa"/>
            </w:tcMar>
            <w:shd w:val="clear" w:color="auto" w:fill="F2F2F2"/>
          </w:tcPr>
          <w:p>
            <w:pPr>
              <w:jc w:val="left"/>
            </w:pPr>
            <w:r/>
            <w:r>
              <w:rPr>
                <w:rFonts w:ascii="Arial" w:hAnsi="Arial" w:eastAsia="Arial" w:cs="Arial"/>
                <w:b w:val="0"/>
                <w:i w:val="0"/>
                <w:sz w:val="20"/>
              </w:rPr>
              <w:t>$581,447</w:t>
            </w:r>
          </w:p>
        </w:tc>
        <w:tc>
          <w:tcPr>
            <w:tcW w:type="dxa" w:w="1377"/>
            <w:tcMar>
              <w:top w:w="80" w:type="dxa"/>
              <w:bottom w:w="80" w:type="dxa"/>
              <w:left w:w="120" w:type="dxa"/>
              <w:right w:w="120" w:type="dxa"/>
            </w:tcMar>
            <w:shd w:val="clear" w:color="auto" w:fill="F2F2F2"/>
          </w:tcPr>
          <w:p>
            <w:pPr>
              <w:jc w:val="left"/>
            </w:pPr>
            <w:r/>
            <w:r>
              <w:rPr>
                <w:rFonts w:ascii="Arial" w:hAnsi="Arial" w:eastAsia="Arial" w:cs="Arial"/>
                <w:b w:val="0"/>
                <w:i w:val="0"/>
                <w:sz w:val="20"/>
              </w:rPr>
              <w:t>$14,909</w:t>
            </w:r>
          </w:p>
        </w:tc>
        <w:tc>
          <w:tcPr>
            <w:tcW w:type="dxa" w:w="1377"/>
            <w:tcMar>
              <w:top w:w="80" w:type="dxa"/>
              <w:bottom w:w="80" w:type="dxa"/>
              <w:left w:w="120" w:type="dxa"/>
              <w:right w:w="120" w:type="dxa"/>
            </w:tcMar>
            <w:shd w:val="clear" w:color="auto" w:fill="F2F2F2"/>
          </w:tcPr>
          <w:p>
            <w:pPr>
              <w:jc w:val="left"/>
            </w:pPr>
            <w:r/>
            <w:r>
              <w:rPr>
                <w:rFonts w:ascii="Arial" w:hAnsi="Arial" w:eastAsia="Arial" w:cs="Arial"/>
                <w:b w:val="0"/>
                <w:i w:val="0"/>
                <w:sz w:val="20"/>
              </w:rPr>
              <w:t>16</w:t>
            </w:r>
          </w:p>
        </w:tc>
        <w:tc>
          <w:tcPr>
            <w:tcW w:type="dxa" w:w="1377"/>
            <w:tcMar>
              <w:top w:w="80" w:type="dxa"/>
              <w:bottom w:w="80" w:type="dxa"/>
              <w:left w:w="120" w:type="dxa"/>
              <w:right w:w="120" w:type="dxa"/>
            </w:tcMar>
            <w:shd w:val="clear" w:color="auto" w:fill="F2F2F2"/>
          </w:tcPr>
          <w:p>
            <w:pPr>
              <w:jc w:val="left"/>
            </w:pPr>
            <w:r/>
            <w:r>
              <w:rPr>
                <w:rFonts w:ascii="Arial" w:hAnsi="Arial" w:eastAsia="Arial" w:cs="Arial"/>
                <w:b w:val="0"/>
                <w:i w:val="0"/>
                <w:sz w:val="20"/>
              </w:rPr>
              <w:t>18</w:t>
            </w:r>
          </w:p>
        </w:tc>
        <w:tc>
          <w:tcPr>
            <w:tcW w:type="dxa" w:w="1377"/>
            <w:tcMar>
              <w:top w:w="80" w:type="dxa"/>
              <w:bottom w:w="80" w:type="dxa"/>
              <w:left w:w="120" w:type="dxa"/>
              <w:right w:w="120" w:type="dxa"/>
            </w:tcMar>
            <w:shd w:val="clear" w:color="auto" w:fill="F2F2F2"/>
          </w:tcPr>
          <w:p>
            <w:pPr>
              <w:jc w:val="left"/>
            </w:pPr>
            <w:r/>
            <w:r>
              <w:rPr>
                <w:rFonts w:ascii="Arial" w:hAnsi="Arial" w:eastAsia="Arial" w:cs="Arial"/>
                <w:b w:val="0"/>
                <w:i w:val="0"/>
                <w:sz w:val="20"/>
              </w:rPr>
              <w:t>5</w:t>
            </w:r>
          </w:p>
        </w:tc>
      </w:tr>
      <w:tr>
        <w:tc>
          <w:tcPr>
            <w:tcW w:type="dxa" w:w="1377"/>
            <w:tcMar>
              <w:top w:w="80" w:type="dxa"/>
              <w:bottom w:w="80" w:type="dxa"/>
              <w:left w:w="120" w:type="dxa"/>
              <w:right w:w="120" w:type="dxa"/>
            </w:tcMar>
          </w:tcPr>
          <w:p>
            <w:pPr>
              <w:jc w:val="left"/>
            </w:pPr>
            <w:r/>
            <w:r>
              <w:rPr>
                <w:rFonts w:ascii="Arial" w:hAnsi="Arial" w:eastAsia="Arial" w:cs="Arial"/>
                <w:b w:val="0"/>
                <w:i w:val="0"/>
                <w:sz w:val="20"/>
              </w:rPr>
              <w:t>Accident</w:t>
            </w:r>
          </w:p>
        </w:tc>
        <w:tc>
          <w:tcPr>
            <w:tcW w:type="dxa" w:w="1377"/>
            <w:tcMar>
              <w:top w:w="80" w:type="dxa"/>
              <w:bottom w:w="80" w:type="dxa"/>
              <w:left w:w="120" w:type="dxa"/>
              <w:right w:w="120" w:type="dxa"/>
            </w:tcMar>
          </w:tcPr>
          <w:p>
            <w:pPr>
              <w:jc w:val="left"/>
            </w:pPr>
            <w:r/>
            <w:r>
              <w:rPr>
                <w:rFonts w:ascii="Arial" w:hAnsi="Arial" w:eastAsia="Arial" w:cs="Arial"/>
                <w:b w:val="0"/>
                <w:i w:val="0"/>
                <w:sz w:val="20"/>
              </w:rPr>
              <w:t>35</w:t>
            </w:r>
          </w:p>
        </w:tc>
        <w:tc>
          <w:tcPr>
            <w:tcW w:type="dxa" w:w="1377"/>
            <w:tcMar>
              <w:top w:w="80" w:type="dxa"/>
              <w:bottom w:w="80" w:type="dxa"/>
              <w:left w:w="120" w:type="dxa"/>
              <w:right w:w="120" w:type="dxa"/>
            </w:tcMar>
          </w:tcPr>
          <w:p>
            <w:pPr>
              <w:jc w:val="left"/>
            </w:pPr>
            <w:r/>
            <w:r>
              <w:rPr>
                <w:rFonts w:ascii="Arial" w:hAnsi="Arial" w:eastAsia="Arial" w:cs="Arial"/>
                <w:b w:val="0"/>
                <w:i w:val="0"/>
                <w:sz w:val="20"/>
              </w:rPr>
              <w:t>$487,418</w:t>
            </w:r>
          </w:p>
        </w:tc>
        <w:tc>
          <w:tcPr>
            <w:tcW w:type="dxa" w:w="1377"/>
            <w:tcMar>
              <w:top w:w="80" w:type="dxa"/>
              <w:bottom w:w="80" w:type="dxa"/>
              <w:left w:w="120" w:type="dxa"/>
              <w:right w:w="120" w:type="dxa"/>
            </w:tcMar>
          </w:tcPr>
          <w:p>
            <w:pPr>
              <w:jc w:val="left"/>
            </w:pPr>
            <w:r/>
            <w:r>
              <w:rPr>
                <w:rFonts w:ascii="Arial" w:hAnsi="Arial" w:eastAsia="Arial" w:cs="Arial"/>
                <w:b w:val="0"/>
                <w:i w:val="0"/>
                <w:sz w:val="20"/>
              </w:rPr>
              <w:t>$13,926</w:t>
            </w:r>
          </w:p>
        </w:tc>
        <w:tc>
          <w:tcPr>
            <w:tcW w:type="dxa" w:w="1377"/>
            <w:tcMar>
              <w:top w:w="80" w:type="dxa"/>
              <w:bottom w:w="80" w:type="dxa"/>
              <w:left w:w="120" w:type="dxa"/>
              <w:right w:w="120" w:type="dxa"/>
            </w:tcMar>
          </w:tcPr>
          <w:p>
            <w:pPr>
              <w:jc w:val="left"/>
            </w:pPr>
            <w:r/>
            <w:r>
              <w:rPr>
                <w:rFonts w:ascii="Arial" w:hAnsi="Arial" w:eastAsia="Arial" w:cs="Arial"/>
                <w:b w:val="0"/>
                <w:i w:val="0"/>
                <w:sz w:val="20"/>
              </w:rPr>
              <w:t>8</w:t>
            </w:r>
          </w:p>
        </w:tc>
        <w:tc>
          <w:tcPr>
            <w:tcW w:type="dxa" w:w="1377"/>
            <w:tcMar>
              <w:top w:w="80" w:type="dxa"/>
              <w:bottom w:w="80" w:type="dxa"/>
              <w:left w:w="120" w:type="dxa"/>
              <w:right w:w="120" w:type="dxa"/>
            </w:tcMar>
          </w:tcPr>
          <w:p>
            <w:pPr>
              <w:jc w:val="left"/>
            </w:pPr>
            <w:r/>
            <w:r>
              <w:rPr>
                <w:rFonts w:ascii="Arial" w:hAnsi="Arial" w:eastAsia="Arial" w:cs="Arial"/>
                <w:b w:val="0"/>
                <w:i w:val="0"/>
                <w:sz w:val="20"/>
              </w:rPr>
              <w:t>14</w:t>
            </w:r>
          </w:p>
        </w:tc>
        <w:tc>
          <w:tcPr>
            <w:tcW w:type="dxa" w:w="1377"/>
            <w:tcMar>
              <w:top w:w="80" w:type="dxa"/>
              <w:bottom w:w="80" w:type="dxa"/>
              <w:left w:w="120" w:type="dxa"/>
              <w:right w:w="120" w:type="dxa"/>
            </w:tcMar>
          </w:tcPr>
          <w:p>
            <w:pPr>
              <w:jc w:val="left"/>
            </w:pPr>
            <w:r/>
            <w:r>
              <w:rPr>
                <w:rFonts w:ascii="Arial" w:hAnsi="Arial" w:eastAsia="Arial" w:cs="Arial"/>
                <w:b w:val="0"/>
                <w:i w:val="0"/>
                <w:sz w:val="20"/>
              </w:rPr>
              <w:t>4</w:t>
            </w:r>
          </w:p>
        </w:tc>
      </w:tr>
      <w:tr>
        <w:tc>
          <w:tcPr>
            <w:tcW w:type="dxa" w:w="1377"/>
            <w:tcMar>
              <w:top w:w="80" w:type="dxa"/>
              <w:bottom w:w="80" w:type="dxa"/>
              <w:left w:w="120" w:type="dxa"/>
              <w:right w:w="120" w:type="dxa"/>
            </w:tcMar>
            <w:shd w:val="clear" w:color="auto" w:fill="F2F2F2"/>
          </w:tcPr>
          <w:p>
            <w:pPr>
              <w:jc w:val="left"/>
            </w:pPr>
            <w:r/>
            <w:r>
              <w:rPr>
                <w:rFonts w:ascii="Arial" w:hAnsi="Arial" w:eastAsia="Arial" w:cs="Arial"/>
                <w:b w:val="0"/>
                <w:i w:val="0"/>
                <w:sz w:val="20"/>
              </w:rPr>
              <w:t>Customer Complaint</w:t>
            </w:r>
          </w:p>
        </w:tc>
        <w:tc>
          <w:tcPr>
            <w:tcW w:type="dxa" w:w="1377"/>
            <w:tcMar>
              <w:top w:w="80" w:type="dxa"/>
              <w:bottom w:w="80" w:type="dxa"/>
              <w:left w:w="120" w:type="dxa"/>
              <w:right w:w="120" w:type="dxa"/>
            </w:tcMar>
            <w:shd w:val="clear" w:color="auto" w:fill="F2F2F2"/>
          </w:tcPr>
          <w:p>
            <w:pPr>
              <w:jc w:val="left"/>
            </w:pPr>
            <w:r/>
            <w:r>
              <w:rPr>
                <w:rFonts w:ascii="Arial" w:hAnsi="Arial" w:eastAsia="Arial" w:cs="Arial"/>
                <w:b w:val="0"/>
                <w:i w:val="0"/>
                <w:sz w:val="20"/>
              </w:rPr>
              <w:t>34</w:t>
            </w:r>
          </w:p>
        </w:tc>
        <w:tc>
          <w:tcPr>
            <w:tcW w:type="dxa" w:w="1377"/>
            <w:tcMar>
              <w:top w:w="80" w:type="dxa"/>
              <w:bottom w:w="80" w:type="dxa"/>
              <w:left w:w="120" w:type="dxa"/>
              <w:right w:w="120" w:type="dxa"/>
            </w:tcMar>
            <w:shd w:val="clear" w:color="auto" w:fill="F2F2F2"/>
          </w:tcPr>
          <w:p>
            <w:pPr>
              <w:jc w:val="left"/>
            </w:pPr>
            <w:r/>
            <w:r>
              <w:rPr>
                <w:rFonts w:ascii="Arial" w:hAnsi="Arial" w:eastAsia="Arial" w:cs="Arial"/>
                <w:b w:val="0"/>
                <w:i w:val="0"/>
                <w:sz w:val="20"/>
              </w:rPr>
              <w:t>$432,492</w:t>
            </w:r>
          </w:p>
        </w:tc>
        <w:tc>
          <w:tcPr>
            <w:tcW w:type="dxa" w:w="1377"/>
            <w:tcMar>
              <w:top w:w="80" w:type="dxa"/>
              <w:bottom w:w="80" w:type="dxa"/>
              <w:left w:w="120" w:type="dxa"/>
              <w:right w:w="120" w:type="dxa"/>
            </w:tcMar>
            <w:shd w:val="clear" w:color="auto" w:fill="F2F2F2"/>
          </w:tcPr>
          <w:p>
            <w:pPr>
              <w:jc w:val="left"/>
            </w:pPr>
            <w:r/>
            <w:r>
              <w:rPr>
                <w:rFonts w:ascii="Arial" w:hAnsi="Arial" w:eastAsia="Arial" w:cs="Arial"/>
                <w:b w:val="0"/>
                <w:i w:val="0"/>
                <w:sz w:val="20"/>
              </w:rPr>
              <w:t>$12,720</w:t>
            </w:r>
          </w:p>
        </w:tc>
        <w:tc>
          <w:tcPr>
            <w:tcW w:type="dxa" w:w="1377"/>
            <w:tcMar>
              <w:top w:w="80" w:type="dxa"/>
              <w:bottom w:w="80" w:type="dxa"/>
              <w:left w:w="120" w:type="dxa"/>
              <w:right w:w="120" w:type="dxa"/>
            </w:tcMar>
            <w:shd w:val="clear" w:color="auto" w:fill="F2F2F2"/>
          </w:tcPr>
          <w:p>
            <w:pPr>
              <w:jc w:val="left"/>
            </w:pPr>
            <w:r/>
            <w:r>
              <w:rPr>
                <w:rFonts w:ascii="Arial" w:hAnsi="Arial" w:eastAsia="Arial" w:cs="Arial"/>
                <w:b w:val="0"/>
                <w:i w:val="0"/>
                <w:sz w:val="20"/>
              </w:rPr>
              <w:t>8</w:t>
            </w:r>
          </w:p>
        </w:tc>
        <w:tc>
          <w:tcPr>
            <w:tcW w:type="dxa" w:w="1377"/>
            <w:tcMar>
              <w:top w:w="80" w:type="dxa"/>
              <w:bottom w:w="80" w:type="dxa"/>
              <w:left w:w="120" w:type="dxa"/>
              <w:right w:w="120" w:type="dxa"/>
            </w:tcMar>
            <w:shd w:val="clear" w:color="auto" w:fill="F2F2F2"/>
          </w:tcPr>
          <w:p>
            <w:pPr>
              <w:jc w:val="left"/>
            </w:pPr>
            <w:r/>
            <w:r>
              <w:rPr>
                <w:rFonts w:ascii="Arial" w:hAnsi="Arial" w:eastAsia="Arial" w:cs="Arial"/>
                <w:b w:val="0"/>
                <w:i w:val="0"/>
                <w:sz w:val="20"/>
              </w:rPr>
              <w:t>13</w:t>
            </w:r>
          </w:p>
        </w:tc>
        <w:tc>
          <w:tcPr>
            <w:tcW w:type="dxa" w:w="1377"/>
            <w:tcMar>
              <w:top w:w="80" w:type="dxa"/>
              <w:bottom w:w="80" w:type="dxa"/>
              <w:left w:w="120" w:type="dxa"/>
              <w:right w:w="120" w:type="dxa"/>
            </w:tcMar>
            <w:shd w:val="clear" w:color="auto" w:fill="F2F2F2"/>
          </w:tcPr>
          <w:p>
            <w:pPr>
              <w:jc w:val="left"/>
            </w:pPr>
            <w:r/>
            <w:r>
              <w:rPr>
                <w:rFonts w:ascii="Arial" w:hAnsi="Arial" w:eastAsia="Arial" w:cs="Arial"/>
                <w:b w:val="0"/>
                <w:i w:val="0"/>
                <w:sz w:val="20"/>
              </w:rPr>
              <w:t>10</w:t>
            </w:r>
          </w:p>
        </w:tc>
      </w:tr>
      <w:tr>
        <w:tc>
          <w:tcPr>
            <w:tcW w:type="dxa" w:w="1377"/>
            <w:tcMar>
              <w:top w:w="80" w:type="dxa"/>
              <w:bottom w:w="80" w:type="dxa"/>
              <w:left w:w="120" w:type="dxa"/>
              <w:right w:w="120" w:type="dxa"/>
            </w:tcMar>
          </w:tcPr>
          <w:p>
            <w:pPr>
              <w:jc w:val="left"/>
            </w:pPr>
            <w:r/>
            <w:r>
              <w:rPr>
                <w:rFonts w:ascii="Arial" w:hAnsi="Arial" w:eastAsia="Arial" w:cs="Arial"/>
                <w:b w:val="0"/>
                <w:i w:val="0"/>
                <w:sz w:val="20"/>
              </w:rPr>
              <w:t>Moving Violation</w:t>
            </w:r>
          </w:p>
        </w:tc>
        <w:tc>
          <w:tcPr>
            <w:tcW w:type="dxa" w:w="1377"/>
            <w:tcMar>
              <w:top w:w="80" w:type="dxa"/>
              <w:bottom w:w="80" w:type="dxa"/>
              <w:left w:w="120" w:type="dxa"/>
              <w:right w:w="120" w:type="dxa"/>
            </w:tcMar>
          </w:tcPr>
          <w:p>
            <w:pPr>
              <w:jc w:val="left"/>
            </w:pPr>
            <w:r/>
            <w:r>
              <w:rPr>
                <w:rFonts w:ascii="Arial" w:hAnsi="Arial" w:eastAsia="Arial" w:cs="Arial"/>
                <w:b w:val="0"/>
                <w:i w:val="0"/>
                <w:sz w:val="20"/>
              </w:rPr>
              <w:t>27</w:t>
            </w:r>
          </w:p>
        </w:tc>
        <w:tc>
          <w:tcPr>
            <w:tcW w:type="dxa" w:w="1377"/>
            <w:tcMar>
              <w:top w:w="80" w:type="dxa"/>
              <w:bottom w:w="80" w:type="dxa"/>
              <w:left w:w="120" w:type="dxa"/>
              <w:right w:w="120" w:type="dxa"/>
            </w:tcMar>
          </w:tcPr>
          <w:p>
            <w:pPr>
              <w:jc w:val="left"/>
            </w:pPr>
            <w:r/>
            <w:r>
              <w:rPr>
                <w:rFonts w:ascii="Arial" w:hAnsi="Arial" w:eastAsia="Arial" w:cs="Arial"/>
                <w:b w:val="0"/>
                <w:i w:val="0"/>
                <w:sz w:val="20"/>
              </w:rPr>
              <w:t>$410,844</w:t>
            </w:r>
          </w:p>
        </w:tc>
        <w:tc>
          <w:tcPr>
            <w:tcW w:type="dxa" w:w="1377"/>
            <w:tcMar>
              <w:top w:w="80" w:type="dxa"/>
              <w:bottom w:w="80" w:type="dxa"/>
              <w:left w:w="120" w:type="dxa"/>
              <w:right w:w="120" w:type="dxa"/>
            </w:tcMar>
          </w:tcPr>
          <w:p>
            <w:pPr>
              <w:jc w:val="left"/>
            </w:pPr>
            <w:r/>
            <w:r>
              <w:rPr>
                <w:rFonts w:ascii="Arial" w:hAnsi="Arial" w:eastAsia="Arial" w:cs="Arial"/>
                <w:b w:val="0"/>
                <w:i w:val="0"/>
                <w:sz w:val="20"/>
              </w:rPr>
              <w:t>$15,216</w:t>
            </w:r>
          </w:p>
        </w:tc>
        <w:tc>
          <w:tcPr>
            <w:tcW w:type="dxa" w:w="1377"/>
            <w:tcMar>
              <w:top w:w="80" w:type="dxa"/>
              <w:bottom w:w="80" w:type="dxa"/>
              <w:left w:w="120" w:type="dxa"/>
              <w:right w:w="120" w:type="dxa"/>
            </w:tcMar>
          </w:tcPr>
          <w:p>
            <w:pPr>
              <w:jc w:val="left"/>
            </w:pPr>
            <w:r/>
            <w:r>
              <w:rPr>
                <w:rFonts w:ascii="Arial" w:hAnsi="Arial" w:eastAsia="Arial" w:cs="Arial"/>
                <w:b w:val="0"/>
                <w:i w:val="0"/>
                <w:sz w:val="20"/>
              </w:rPr>
              <w:t>8</w:t>
            </w:r>
          </w:p>
        </w:tc>
        <w:tc>
          <w:tcPr>
            <w:tcW w:type="dxa" w:w="1377"/>
            <w:tcMar>
              <w:top w:w="80" w:type="dxa"/>
              <w:bottom w:w="80" w:type="dxa"/>
              <w:left w:w="120" w:type="dxa"/>
              <w:right w:w="120" w:type="dxa"/>
            </w:tcMar>
          </w:tcPr>
          <w:p>
            <w:pPr>
              <w:jc w:val="left"/>
            </w:pPr>
            <w:r/>
            <w:r>
              <w:rPr>
                <w:rFonts w:ascii="Arial" w:hAnsi="Arial" w:eastAsia="Arial" w:cs="Arial"/>
                <w:b w:val="0"/>
                <w:i w:val="0"/>
                <w:sz w:val="20"/>
              </w:rPr>
              <w:t>10</w:t>
            </w:r>
          </w:p>
        </w:tc>
        <w:tc>
          <w:tcPr>
            <w:tcW w:type="dxa" w:w="1377"/>
            <w:tcMar>
              <w:top w:w="80" w:type="dxa"/>
              <w:bottom w:w="80" w:type="dxa"/>
              <w:left w:w="120" w:type="dxa"/>
              <w:right w:w="120" w:type="dxa"/>
            </w:tcMar>
          </w:tcPr>
          <w:p>
            <w:pPr>
              <w:jc w:val="left"/>
            </w:pPr>
            <w:r/>
            <w:r>
              <w:rPr>
                <w:rFonts w:ascii="Arial" w:hAnsi="Arial" w:eastAsia="Arial" w:cs="Arial"/>
                <w:b w:val="0"/>
                <w:i w:val="0"/>
                <w:sz w:val="20"/>
              </w:rPr>
              <w:t>4</w:t>
            </w:r>
          </w:p>
        </w:tc>
      </w:tr>
    </w:tbl>
    <w:p>
      <w:pPr>
        <w:spacing w:after="80"/>
      </w:pPr>
    </w:p>
    <w:p>
      <w:pPr>
        <w:spacing w:after="120" w:before="0" w:line="312" w:lineRule="auto"/>
        <w:ind w:firstLine="0"/>
      </w:pPr>
      <w:r>
        <w:rPr>
          <w:rFonts w:ascii="Arial" w:hAnsi="Arial" w:eastAsia="Arial" w:cs="Arial"/>
          <w:b w:val="0"/>
          <w:i w:val="0"/>
          <w:sz w:val="22"/>
        </w:rPr>
        <w:t>DOT Violations are the most frequent incident type (39 occurrences) and Accidents the second-most (35). Equipment Damage and Accidents together drive the largest claim amounts, reflecting the high cost of vehicle repair and cargo loss. Customer Complaints, while not financially large in claim terms, are strategically important because they directly affect customer retention and reputation. The relatively even distribution across the five incident types suggests that no single root cause dominates — a portfolio of interventions (training, maintenance, route planning, customer service) will be required rather than a single silver bullet.</w:t>
      </w:r>
    </w:p>
    <w:p>
      <w:pPr>
        <w:spacing w:before="120" w:after="40"/>
        <w:jc w:val="center"/>
      </w:pPr>
      <w:r>
        <w:drawing>
          <wp:inline xmlns:a="http://schemas.openxmlformats.org/drawingml/2006/main" xmlns:pic="http://schemas.openxmlformats.org/drawingml/2006/picture">
            <wp:extent cx="5040000" cy="1929972"/>
            <wp:docPr id="5" name="Picture 5"/>
            <wp:cNvGraphicFramePr>
              <a:graphicFrameLocks noChangeAspect="1"/>
            </wp:cNvGraphicFramePr>
            <a:graphic>
              <a:graphicData uri="http://schemas.openxmlformats.org/drawingml/2006/picture">
                <pic:pic>
                  <pic:nvPicPr>
                    <pic:cNvPr id="0" name="05_incident_type_breakdown.png"/>
                    <pic:cNvPicPr/>
                  </pic:nvPicPr>
                  <pic:blipFill>
                    <a:blip r:embed="rId15"/>
                    <a:stretch>
                      <a:fillRect/>
                    </a:stretch>
                  </pic:blipFill>
                  <pic:spPr>
                    <a:xfrm>
                      <a:off x="0" y="0"/>
                      <a:ext cx="5040000" cy="1929972"/>
                    </a:xfrm>
                    <a:prstGeom prst="rect"/>
                  </pic:spPr>
                </pic:pic>
              </a:graphicData>
            </a:graphic>
          </wp:inline>
        </w:drawing>
      </w:r>
    </w:p>
    <w:p>
      <w:pPr>
        <w:spacing w:after="200" w:before="0"/>
        <w:jc w:val="center"/>
      </w:pPr>
      <w:r>
        <w:rPr>
          <w:rFonts w:ascii="Arial" w:hAnsi="Arial" w:eastAsia="Arial" w:cs="Arial"/>
          <w:b w:val="0"/>
          <w:i/>
          <w:color w:val="555555"/>
          <w:sz w:val="19"/>
        </w:rPr>
        <w:t>Figure 6-1: Incident count and total claim amount by incident type.</w:t>
      </w:r>
    </w:p>
    <w:p>
      <w:pPr>
        <w:pStyle w:val="Heading2"/>
        <w:keepNext/>
        <w:spacing w:before="200" w:after="120"/>
      </w:pPr>
      <w:r>
        <w:rPr>
          <w:rFonts w:ascii="Arial" w:hAnsi="Arial" w:eastAsia="Arial" w:cs="Arial"/>
          <w:b/>
          <w:i w:val="0"/>
          <w:color w:val="2E5A88"/>
          <w:sz w:val="26"/>
        </w:rPr>
        <w:t>Geographic and Temporal Concentration</w:t>
      </w:r>
    </w:p>
    <w:p>
      <w:pPr>
        <w:spacing w:after="80" w:before="160"/>
        <w:jc w:val="center"/>
      </w:pPr>
      <w:r>
        <w:rPr>
          <w:rFonts w:ascii="Arial" w:hAnsi="Arial" w:eastAsia="Arial" w:cs="Arial"/>
          <w:b w:val="0"/>
          <w:i/>
          <w:color w:val="555555"/>
          <w:sz w:val="19"/>
        </w:rPr>
        <w:t>Table 6-2: Top 10 cities by total claim amount.</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Rank</w:t>
            </w:r>
          </w:p>
        </w:tc>
        <w:tc>
          <w:tcPr>
            <w:tcW w:type="dxa" w:w="1928"/>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City</w:t>
            </w:r>
          </w:p>
        </w:tc>
        <w:tc>
          <w:tcPr>
            <w:tcW w:type="dxa" w:w="1928"/>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Incidents</w:t>
            </w:r>
          </w:p>
        </w:tc>
        <w:tc>
          <w:tcPr>
            <w:tcW w:type="dxa" w:w="1928"/>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Total Claims ($)</w:t>
            </w:r>
          </w:p>
        </w:tc>
        <w:tc>
          <w:tcPr>
            <w:tcW w:type="dxa" w:w="1928"/>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Avg Claim ($)</w:t>
            </w:r>
          </w:p>
        </w:tc>
      </w:tr>
      <w:tr>
        <w:tc>
          <w:tcPr>
            <w:tcW w:type="dxa" w:w="1928"/>
            <w:tcMar>
              <w:top w:w="80" w:type="dxa"/>
              <w:bottom w:w="80" w:type="dxa"/>
              <w:left w:w="120" w:type="dxa"/>
              <w:right w:w="120" w:type="dxa"/>
            </w:tcMar>
          </w:tcPr>
          <w:p>
            <w:pPr>
              <w:jc w:val="left"/>
            </w:pPr>
            <w:r/>
            <w:r>
              <w:rPr>
                <w:rFonts w:ascii="Arial" w:hAnsi="Arial" w:eastAsia="Arial" w:cs="Arial"/>
                <w:b w:val="0"/>
                <w:i w:val="0"/>
                <w:sz w:val="20"/>
              </w:rPr>
              <w:t>1</w:t>
            </w:r>
          </w:p>
        </w:tc>
        <w:tc>
          <w:tcPr>
            <w:tcW w:type="dxa" w:w="1928"/>
            <w:tcMar>
              <w:top w:w="80" w:type="dxa"/>
              <w:bottom w:w="80" w:type="dxa"/>
              <w:left w:w="120" w:type="dxa"/>
              <w:right w:w="120" w:type="dxa"/>
            </w:tcMar>
          </w:tcPr>
          <w:p>
            <w:pPr>
              <w:jc w:val="left"/>
            </w:pPr>
            <w:r/>
            <w:r>
              <w:rPr>
                <w:rFonts w:ascii="Arial" w:hAnsi="Arial" w:eastAsia="Arial" w:cs="Arial"/>
                <w:b w:val="0"/>
                <w:i w:val="0"/>
                <w:sz w:val="20"/>
              </w:rPr>
              <w:t>Chicago</w:t>
            </w:r>
          </w:p>
        </w:tc>
        <w:tc>
          <w:tcPr>
            <w:tcW w:type="dxa" w:w="1928"/>
            <w:tcMar>
              <w:top w:w="80" w:type="dxa"/>
              <w:bottom w:w="80" w:type="dxa"/>
              <w:left w:w="120" w:type="dxa"/>
              <w:right w:w="120" w:type="dxa"/>
            </w:tcMar>
          </w:tcPr>
          <w:p>
            <w:pPr>
              <w:jc w:val="left"/>
            </w:pPr>
            <w:r/>
            <w:r>
              <w:rPr>
                <w:rFonts w:ascii="Arial" w:hAnsi="Arial" w:eastAsia="Arial" w:cs="Arial"/>
                <w:b w:val="0"/>
                <w:i w:val="0"/>
                <w:sz w:val="20"/>
              </w:rPr>
              <w:t>11</w:t>
            </w:r>
          </w:p>
        </w:tc>
        <w:tc>
          <w:tcPr>
            <w:tcW w:type="dxa" w:w="1928"/>
            <w:tcMar>
              <w:top w:w="80" w:type="dxa"/>
              <w:bottom w:w="80" w:type="dxa"/>
              <w:left w:w="120" w:type="dxa"/>
              <w:right w:w="120" w:type="dxa"/>
            </w:tcMar>
          </w:tcPr>
          <w:p>
            <w:pPr>
              <w:jc w:val="left"/>
            </w:pPr>
            <w:r/>
            <w:r>
              <w:rPr>
                <w:rFonts w:ascii="Arial" w:hAnsi="Arial" w:eastAsia="Arial" w:cs="Arial"/>
                <w:b w:val="0"/>
                <w:i w:val="0"/>
                <w:sz w:val="20"/>
              </w:rPr>
              <w:t>$240,169</w:t>
            </w:r>
          </w:p>
        </w:tc>
        <w:tc>
          <w:tcPr>
            <w:tcW w:type="dxa" w:w="1928"/>
            <w:tcMar>
              <w:top w:w="80" w:type="dxa"/>
              <w:bottom w:w="80" w:type="dxa"/>
              <w:left w:w="120" w:type="dxa"/>
              <w:right w:w="120" w:type="dxa"/>
            </w:tcMar>
          </w:tcPr>
          <w:p>
            <w:pPr>
              <w:jc w:val="left"/>
            </w:pPr>
            <w:r/>
            <w:r>
              <w:rPr>
                <w:rFonts w:ascii="Arial" w:hAnsi="Arial" w:eastAsia="Arial" w:cs="Arial"/>
                <w:b w:val="0"/>
                <w:i w:val="0"/>
                <w:sz w:val="20"/>
              </w:rPr>
              <w:t>$21,834</w:t>
            </w:r>
          </w:p>
        </w:tc>
      </w:tr>
      <w:tr>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2</w:t>
            </w:r>
          </w:p>
        </w:tc>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Seattle</w:t>
            </w:r>
          </w:p>
        </w:tc>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10</w:t>
            </w:r>
          </w:p>
        </w:tc>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$223,904</w:t>
            </w:r>
          </w:p>
        </w:tc>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$22,390</w:t>
            </w:r>
          </w:p>
        </w:tc>
      </w:tr>
      <w:tr>
        <w:tc>
          <w:tcPr>
            <w:tcW w:type="dxa" w:w="1928"/>
            <w:tcMar>
              <w:top w:w="80" w:type="dxa"/>
              <w:bottom w:w="80" w:type="dxa"/>
              <w:left w:w="120" w:type="dxa"/>
              <w:right w:w="120" w:type="dxa"/>
            </w:tcMar>
          </w:tcPr>
          <w:p>
            <w:pPr>
              <w:jc w:val="left"/>
            </w:pPr>
            <w:r/>
            <w:r>
              <w:rPr>
                <w:rFonts w:ascii="Arial" w:hAnsi="Arial" w:eastAsia="Arial" w:cs="Arial"/>
                <w:b w:val="0"/>
                <w:i w:val="0"/>
                <w:sz w:val="20"/>
              </w:rPr>
              <w:t>3</w:t>
            </w:r>
          </w:p>
        </w:tc>
        <w:tc>
          <w:tcPr>
            <w:tcW w:type="dxa" w:w="1928"/>
            <w:tcMar>
              <w:top w:w="80" w:type="dxa"/>
              <w:bottom w:w="80" w:type="dxa"/>
              <w:left w:w="120" w:type="dxa"/>
              <w:right w:w="120" w:type="dxa"/>
            </w:tcMar>
          </w:tcPr>
          <w:p>
            <w:pPr>
              <w:jc w:val="left"/>
            </w:pPr>
            <w:r/>
            <w:r>
              <w:rPr>
                <w:rFonts w:ascii="Arial" w:hAnsi="Arial" w:eastAsia="Arial" w:cs="Arial"/>
                <w:b w:val="0"/>
                <w:i w:val="0"/>
                <w:sz w:val="20"/>
              </w:rPr>
              <w:t>Memphis</w:t>
            </w:r>
          </w:p>
        </w:tc>
        <w:tc>
          <w:tcPr>
            <w:tcW w:type="dxa" w:w="1928"/>
            <w:tcMar>
              <w:top w:w="80" w:type="dxa"/>
              <w:bottom w:w="80" w:type="dxa"/>
              <w:left w:w="120" w:type="dxa"/>
              <w:right w:w="120" w:type="dxa"/>
            </w:tcMar>
          </w:tcPr>
          <w:p>
            <w:pPr>
              <w:jc w:val="left"/>
            </w:pPr>
            <w:r/>
            <w:r>
              <w:rPr>
                <w:rFonts w:ascii="Arial" w:hAnsi="Arial" w:eastAsia="Arial" w:cs="Arial"/>
                <w:b w:val="0"/>
                <w:i w:val="0"/>
                <w:sz w:val="20"/>
              </w:rPr>
              <w:t>9</w:t>
            </w:r>
          </w:p>
        </w:tc>
        <w:tc>
          <w:tcPr>
            <w:tcW w:type="dxa" w:w="1928"/>
            <w:tcMar>
              <w:top w:w="80" w:type="dxa"/>
              <w:bottom w:w="80" w:type="dxa"/>
              <w:left w:w="120" w:type="dxa"/>
              <w:right w:w="120" w:type="dxa"/>
            </w:tcMar>
          </w:tcPr>
          <w:p>
            <w:pPr>
              <w:jc w:val="left"/>
            </w:pPr>
            <w:r/>
            <w:r>
              <w:rPr>
                <w:rFonts w:ascii="Arial" w:hAnsi="Arial" w:eastAsia="Arial" w:cs="Arial"/>
                <w:b w:val="0"/>
                <w:i w:val="0"/>
                <w:sz w:val="20"/>
              </w:rPr>
              <w:t>$214,803</w:t>
            </w:r>
          </w:p>
        </w:tc>
        <w:tc>
          <w:tcPr>
            <w:tcW w:type="dxa" w:w="1928"/>
            <w:tcMar>
              <w:top w:w="80" w:type="dxa"/>
              <w:bottom w:w="80" w:type="dxa"/>
              <w:left w:w="120" w:type="dxa"/>
              <w:right w:w="120" w:type="dxa"/>
            </w:tcMar>
          </w:tcPr>
          <w:p>
            <w:pPr>
              <w:jc w:val="left"/>
            </w:pPr>
            <w:r/>
            <w:r>
              <w:rPr>
                <w:rFonts w:ascii="Arial" w:hAnsi="Arial" w:eastAsia="Arial" w:cs="Arial"/>
                <w:b w:val="0"/>
                <w:i w:val="0"/>
                <w:sz w:val="20"/>
              </w:rPr>
              <w:t>$23,867</w:t>
            </w:r>
          </w:p>
        </w:tc>
      </w:tr>
      <w:tr>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4</w:t>
            </w:r>
          </w:p>
        </w:tc>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Dallas</w:t>
            </w:r>
          </w:p>
        </w:tc>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8</w:t>
            </w:r>
          </w:p>
        </w:tc>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$174,511</w:t>
            </w:r>
          </w:p>
        </w:tc>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$21,814</w:t>
            </w:r>
          </w:p>
        </w:tc>
      </w:tr>
      <w:tr>
        <w:tc>
          <w:tcPr>
            <w:tcW w:type="dxa" w:w="1928"/>
            <w:tcMar>
              <w:top w:w="80" w:type="dxa"/>
              <w:bottom w:w="80" w:type="dxa"/>
              <w:left w:w="120" w:type="dxa"/>
              <w:right w:w="120" w:type="dxa"/>
            </w:tcMar>
          </w:tcPr>
          <w:p>
            <w:pPr>
              <w:jc w:val="left"/>
            </w:pPr>
            <w:r/>
            <w:r>
              <w:rPr>
                <w:rFonts w:ascii="Arial" w:hAnsi="Arial" w:eastAsia="Arial" w:cs="Arial"/>
                <w:b w:val="0"/>
                <w:i w:val="0"/>
                <w:sz w:val="20"/>
              </w:rPr>
              <w:t>5</w:t>
            </w:r>
          </w:p>
        </w:tc>
        <w:tc>
          <w:tcPr>
            <w:tcW w:type="dxa" w:w="1928"/>
            <w:tcMar>
              <w:top w:w="80" w:type="dxa"/>
              <w:bottom w:w="80" w:type="dxa"/>
              <w:left w:w="120" w:type="dxa"/>
              <w:right w:w="120" w:type="dxa"/>
            </w:tcMar>
          </w:tcPr>
          <w:p>
            <w:pPr>
              <w:jc w:val="left"/>
            </w:pPr>
            <w:r/>
            <w:r>
              <w:rPr>
                <w:rFonts w:ascii="Arial" w:hAnsi="Arial" w:eastAsia="Arial" w:cs="Arial"/>
                <w:b w:val="0"/>
                <w:i w:val="0"/>
                <w:sz w:val="20"/>
              </w:rPr>
              <w:t>Miami</w:t>
            </w:r>
          </w:p>
        </w:tc>
        <w:tc>
          <w:tcPr>
            <w:tcW w:type="dxa" w:w="1928"/>
            <w:tcMar>
              <w:top w:w="80" w:type="dxa"/>
              <w:bottom w:w="80" w:type="dxa"/>
              <w:left w:w="120" w:type="dxa"/>
              <w:right w:w="120" w:type="dxa"/>
            </w:tcMar>
          </w:tcPr>
          <w:p>
            <w:pPr>
              <w:jc w:val="left"/>
            </w:pPr>
            <w:r/>
            <w:r>
              <w:rPr>
                <w:rFonts w:ascii="Arial" w:hAnsi="Arial" w:eastAsia="Arial" w:cs="Arial"/>
                <w:b w:val="0"/>
                <w:i w:val="0"/>
                <w:sz w:val="20"/>
              </w:rPr>
              <w:t>11</w:t>
            </w:r>
          </w:p>
        </w:tc>
        <w:tc>
          <w:tcPr>
            <w:tcW w:type="dxa" w:w="1928"/>
            <w:tcMar>
              <w:top w:w="80" w:type="dxa"/>
              <w:bottom w:w="80" w:type="dxa"/>
              <w:left w:w="120" w:type="dxa"/>
              <w:right w:w="120" w:type="dxa"/>
            </w:tcMar>
          </w:tcPr>
          <w:p>
            <w:pPr>
              <w:jc w:val="left"/>
            </w:pPr>
            <w:r/>
            <w:r>
              <w:rPr>
                <w:rFonts w:ascii="Arial" w:hAnsi="Arial" w:eastAsia="Arial" w:cs="Arial"/>
                <w:b w:val="0"/>
                <w:i w:val="0"/>
                <w:sz w:val="20"/>
              </w:rPr>
              <w:t>$153,537</w:t>
            </w:r>
          </w:p>
        </w:tc>
        <w:tc>
          <w:tcPr>
            <w:tcW w:type="dxa" w:w="1928"/>
            <w:tcMar>
              <w:top w:w="80" w:type="dxa"/>
              <w:bottom w:w="80" w:type="dxa"/>
              <w:left w:w="120" w:type="dxa"/>
              <w:right w:w="120" w:type="dxa"/>
            </w:tcMar>
          </w:tcPr>
          <w:p>
            <w:pPr>
              <w:jc w:val="left"/>
            </w:pPr>
            <w:r/>
            <w:r>
              <w:rPr>
                <w:rFonts w:ascii="Arial" w:hAnsi="Arial" w:eastAsia="Arial" w:cs="Arial"/>
                <w:b w:val="0"/>
                <w:i w:val="0"/>
                <w:sz w:val="20"/>
              </w:rPr>
              <w:t>$13,958</w:t>
            </w:r>
          </w:p>
        </w:tc>
      </w:tr>
      <w:tr>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6</w:t>
            </w:r>
          </w:p>
        </w:tc>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Omaha</w:t>
            </w:r>
          </w:p>
        </w:tc>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7</w:t>
            </w:r>
          </w:p>
        </w:tc>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$141,870</w:t>
            </w:r>
          </w:p>
        </w:tc>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$20,267</w:t>
            </w:r>
          </w:p>
        </w:tc>
      </w:tr>
      <w:tr>
        <w:tc>
          <w:tcPr>
            <w:tcW w:type="dxa" w:w="1928"/>
            <w:tcMar>
              <w:top w:w="80" w:type="dxa"/>
              <w:bottom w:w="80" w:type="dxa"/>
              <w:left w:w="120" w:type="dxa"/>
              <w:right w:w="120" w:type="dxa"/>
            </w:tcMar>
          </w:tcPr>
          <w:p>
            <w:pPr>
              <w:jc w:val="left"/>
            </w:pPr>
            <w:r/>
            <w:r>
              <w:rPr>
                <w:rFonts w:ascii="Arial" w:hAnsi="Arial" w:eastAsia="Arial" w:cs="Arial"/>
                <w:b w:val="0"/>
                <w:i w:val="0"/>
                <w:sz w:val="20"/>
              </w:rPr>
              <w:t>7</w:t>
            </w:r>
          </w:p>
        </w:tc>
        <w:tc>
          <w:tcPr>
            <w:tcW w:type="dxa" w:w="1928"/>
            <w:tcMar>
              <w:top w:w="80" w:type="dxa"/>
              <w:bottom w:w="80" w:type="dxa"/>
              <w:left w:w="120" w:type="dxa"/>
              <w:right w:w="120" w:type="dxa"/>
            </w:tcMar>
          </w:tcPr>
          <w:p>
            <w:pPr>
              <w:jc w:val="left"/>
            </w:pPr>
            <w:r/>
            <w:r>
              <w:rPr>
                <w:rFonts w:ascii="Arial" w:hAnsi="Arial" w:eastAsia="Arial" w:cs="Arial"/>
                <w:b w:val="0"/>
                <w:i w:val="0"/>
                <w:sz w:val="20"/>
              </w:rPr>
              <w:t>Salt Lake City</w:t>
            </w:r>
          </w:p>
        </w:tc>
        <w:tc>
          <w:tcPr>
            <w:tcW w:type="dxa" w:w="1928"/>
            <w:tcMar>
              <w:top w:w="80" w:type="dxa"/>
              <w:bottom w:w="80" w:type="dxa"/>
              <w:left w:w="120" w:type="dxa"/>
              <w:right w:w="120" w:type="dxa"/>
            </w:tcMar>
          </w:tcPr>
          <w:p>
            <w:pPr>
              <w:jc w:val="left"/>
            </w:pPr>
            <w:r/>
            <w:r>
              <w:rPr>
                <w:rFonts w:ascii="Arial" w:hAnsi="Arial" w:eastAsia="Arial" w:cs="Arial"/>
                <w:b w:val="0"/>
                <w:i w:val="0"/>
                <w:sz w:val="20"/>
              </w:rPr>
              <w:t>10</w:t>
            </w:r>
          </w:p>
        </w:tc>
        <w:tc>
          <w:tcPr>
            <w:tcW w:type="dxa" w:w="1928"/>
            <w:tcMar>
              <w:top w:w="80" w:type="dxa"/>
              <w:bottom w:w="80" w:type="dxa"/>
              <w:left w:w="120" w:type="dxa"/>
              <w:right w:w="120" w:type="dxa"/>
            </w:tcMar>
          </w:tcPr>
          <w:p>
            <w:pPr>
              <w:jc w:val="left"/>
            </w:pPr>
            <w:r/>
            <w:r>
              <w:rPr>
                <w:rFonts w:ascii="Arial" w:hAnsi="Arial" w:eastAsia="Arial" w:cs="Arial"/>
                <w:b w:val="0"/>
                <w:i w:val="0"/>
                <w:sz w:val="20"/>
              </w:rPr>
              <w:t>$125,391</w:t>
            </w:r>
          </w:p>
        </w:tc>
        <w:tc>
          <w:tcPr>
            <w:tcW w:type="dxa" w:w="1928"/>
            <w:tcMar>
              <w:top w:w="80" w:type="dxa"/>
              <w:bottom w:w="80" w:type="dxa"/>
              <w:left w:w="120" w:type="dxa"/>
              <w:right w:w="120" w:type="dxa"/>
            </w:tcMar>
          </w:tcPr>
          <w:p>
            <w:pPr>
              <w:jc w:val="left"/>
            </w:pPr>
            <w:r/>
            <w:r>
              <w:rPr>
                <w:rFonts w:ascii="Arial" w:hAnsi="Arial" w:eastAsia="Arial" w:cs="Arial"/>
                <w:b w:val="0"/>
                <w:i w:val="0"/>
                <w:sz w:val="20"/>
              </w:rPr>
              <w:t>$12,539</w:t>
            </w:r>
          </w:p>
        </w:tc>
      </w:tr>
      <w:tr>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8</w:t>
            </w:r>
          </w:p>
        </w:tc>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Phoenix</w:t>
            </w:r>
          </w:p>
        </w:tc>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9</w:t>
            </w:r>
          </w:p>
        </w:tc>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$119,118</w:t>
            </w:r>
          </w:p>
        </w:tc>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$13,235</w:t>
            </w:r>
          </w:p>
        </w:tc>
      </w:tr>
      <w:tr>
        <w:tc>
          <w:tcPr>
            <w:tcW w:type="dxa" w:w="1928"/>
            <w:tcMar>
              <w:top w:w="80" w:type="dxa"/>
              <w:bottom w:w="80" w:type="dxa"/>
              <w:left w:w="120" w:type="dxa"/>
              <w:right w:w="120" w:type="dxa"/>
            </w:tcMar>
          </w:tcPr>
          <w:p>
            <w:pPr>
              <w:jc w:val="left"/>
            </w:pPr>
            <w:r/>
            <w:r>
              <w:rPr>
                <w:rFonts w:ascii="Arial" w:hAnsi="Arial" w:eastAsia="Arial" w:cs="Arial"/>
                <w:b w:val="0"/>
                <w:i w:val="0"/>
                <w:sz w:val="20"/>
              </w:rPr>
              <w:t>9</w:t>
            </w:r>
          </w:p>
        </w:tc>
        <w:tc>
          <w:tcPr>
            <w:tcW w:type="dxa" w:w="1928"/>
            <w:tcMar>
              <w:top w:w="80" w:type="dxa"/>
              <w:bottom w:w="80" w:type="dxa"/>
              <w:left w:w="120" w:type="dxa"/>
              <w:right w:w="120" w:type="dxa"/>
            </w:tcMar>
          </w:tcPr>
          <w:p>
            <w:pPr>
              <w:jc w:val="left"/>
            </w:pPr>
            <w:r/>
            <w:r>
              <w:rPr>
                <w:rFonts w:ascii="Arial" w:hAnsi="Arial" w:eastAsia="Arial" w:cs="Arial"/>
                <w:b w:val="0"/>
                <w:i w:val="0"/>
                <w:sz w:val="20"/>
              </w:rPr>
              <w:t>Atlanta</w:t>
            </w:r>
          </w:p>
        </w:tc>
        <w:tc>
          <w:tcPr>
            <w:tcW w:type="dxa" w:w="1928"/>
            <w:tcMar>
              <w:top w:w="80" w:type="dxa"/>
              <w:bottom w:w="80" w:type="dxa"/>
              <w:left w:w="120" w:type="dxa"/>
              <w:right w:w="120" w:type="dxa"/>
            </w:tcMar>
          </w:tcPr>
          <w:p>
            <w:pPr>
              <w:jc w:val="left"/>
            </w:pPr>
            <w:r/>
            <w:r>
              <w:rPr>
                <w:rFonts w:ascii="Arial" w:hAnsi="Arial" w:eastAsia="Arial" w:cs="Arial"/>
                <w:b w:val="0"/>
                <w:i w:val="0"/>
                <w:sz w:val="20"/>
              </w:rPr>
              <w:t>6</w:t>
            </w:r>
          </w:p>
        </w:tc>
        <w:tc>
          <w:tcPr>
            <w:tcW w:type="dxa" w:w="1928"/>
            <w:tcMar>
              <w:top w:w="80" w:type="dxa"/>
              <w:bottom w:w="80" w:type="dxa"/>
              <w:left w:w="120" w:type="dxa"/>
              <w:right w:w="120" w:type="dxa"/>
            </w:tcMar>
          </w:tcPr>
          <w:p>
            <w:pPr>
              <w:jc w:val="left"/>
            </w:pPr>
            <w:r/>
            <w:r>
              <w:rPr>
                <w:rFonts w:ascii="Arial" w:hAnsi="Arial" w:eastAsia="Arial" w:cs="Arial"/>
                <w:b w:val="0"/>
                <w:i w:val="0"/>
                <w:sz w:val="20"/>
              </w:rPr>
              <w:t>$115,316</w:t>
            </w:r>
          </w:p>
        </w:tc>
        <w:tc>
          <w:tcPr>
            <w:tcW w:type="dxa" w:w="1928"/>
            <w:tcMar>
              <w:top w:w="80" w:type="dxa"/>
              <w:bottom w:w="80" w:type="dxa"/>
              <w:left w:w="120" w:type="dxa"/>
              <w:right w:w="120" w:type="dxa"/>
            </w:tcMar>
          </w:tcPr>
          <w:p>
            <w:pPr>
              <w:jc w:val="left"/>
            </w:pPr>
            <w:r/>
            <w:r>
              <w:rPr>
                <w:rFonts w:ascii="Arial" w:hAnsi="Arial" w:eastAsia="Arial" w:cs="Arial"/>
                <w:b w:val="0"/>
                <w:i w:val="0"/>
                <w:sz w:val="20"/>
              </w:rPr>
              <w:t>$19,219</w:t>
            </w:r>
          </w:p>
        </w:tc>
      </w:tr>
      <w:tr>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10</w:t>
            </w:r>
          </w:p>
        </w:tc>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Los Angeles</w:t>
            </w:r>
          </w:p>
        </w:tc>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9</w:t>
            </w:r>
          </w:p>
        </w:tc>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$114,249</w:t>
            </w:r>
          </w:p>
        </w:tc>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$12,694</w:t>
            </w:r>
          </w:p>
        </w:tc>
      </w:tr>
    </w:tbl>
    <w:p>
      <w:pPr>
        <w:spacing w:after="80"/>
      </w:pPr>
    </w:p>
    <w:p>
      <w:pPr>
        <w:spacing w:after="120" w:before="0" w:line="312" w:lineRule="auto"/>
        <w:ind w:firstLine="0"/>
      </w:pPr>
      <w:r>
        <w:rPr>
          <w:rFonts w:ascii="Arial" w:hAnsi="Arial" w:eastAsia="Arial" w:cs="Arial"/>
          <w:b w:val="0"/>
          <w:i w:val="0"/>
          <w:sz w:val="22"/>
        </w:rPr>
        <w:t>The geographic concentration is striking: the top three cities (Chicago, Seattle, Memphis) alone account for $678,876 in claims — approximately 26% of total claim exposure across all 170 incidents. This clustering is far higher than what a uniform geographic distribution would predict, and it points to city-specific risk factors: weather patterns (Seattle rain, Memphis severe storms), dock and yard congestion (Chicago rail interchange volume), and traffic density. The temporal view shows the incident rate per 1,000 trips rising from 1.96 in 2022 to 2.09 in 2024, a concerning directional trend that warrants proactive intervention before it accelerates.</w:t>
      </w:r>
    </w:p>
    <w:p>
      <w:pPr>
        <w:spacing w:before="120" w:after="40"/>
        <w:jc w:val="center"/>
      </w:pPr>
      <w:r>
        <w:drawing>
          <wp:inline xmlns:a="http://schemas.openxmlformats.org/drawingml/2006/main" xmlns:pic="http://schemas.openxmlformats.org/drawingml/2006/picture">
            <wp:extent cx="5040000" cy="1932142"/>
            <wp:docPr id="6" name="Picture 6"/>
            <wp:cNvGraphicFramePr>
              <a:graphicFrameLocks noChangeAspect="1"/>
            </wp:cNvGraphicFramePr>
            <a:graphic>
              <a:graphicData uri="http://schemas.openxmlformats.org/drawingml/2006/picture">
                <pic:pic>
                  <pic:nvPicPr>
                    <pic:cNvPr id="0" name="06_incident_geo_temporal.png"/>
                    <pic:cNvPicPr/>
                  </pic:nvPicPr>
                  <pic:blipFill>
                    <a:blip r:embed="rId16"/>
                    <a:stretch>
                      <a:fillRect/>
                    </a:stretch>
                  </pic:blipFill>
                  <pic:spPr>
                    <a:xfrm>
                      <a:off x="0" y="0"/>
                      <a:ext cx="5040000" cy="1932142"/>
                    </a:xfrm>
                    <a:prstGeom prst="rect"/>
                  </pic:spPr>
                </pic:pic>
              </a:graphicData>
            </a:graphic>
          </wp:inline>
        </w:drawing>
      </w:r>
    </w:p>
    <w:p>
      <w:pPr>
        <w:spacing w:after="200" w:before="0"/>
        <w:jc w:val="center"/>
      </w:pPr>
      <w:r>
        <w:rPr>
          <w:rFonts w:ascii="Arial" w:hAnsi="Arial" w:eastAsia="Arial" w:cs="Arial"/>
          <w:b w:val="0"/>
          <w:i/>
          <w:color w:val="555555"/>
          <w:sz w:val="19"/>
        </w:rPr>
        <w:t>Figure 6-2: Top cities by total claim amount (left) and incident rate per 1,000 trips by year (right).</w:t>
      </w:r>
    </w:p>
    <w:p>
      <w:pPr>
        <w:pStyle w:val="Heading2"/>
        <w:keepNext/>
        <w:spacing w:before="200" w:after="120"/>
      </w:pPr>
      <w:r>
        <w:rPr>
          <w:rFonts w:ascii="Arial" w:hAnsi="Arial" w:eastAsia="Arial" w:cs="Arial"/>
          <w:b/>
          <w:i w:val="0"/>
          <w:color w:val="2E5A88"/>
          <w:sz w:val="26"/>
        </w:rPr>
        <w:t>Preventability Analysis</w:t>
      </w:r>
    </w:p>
    <w:p>
      <w:pPr>
        <w:spacing w:after="80" w:before="160"/>
        <w:jc w:val="center"/>
      </w:pPr>
      <w:r>
        <w:rPr>
          <w:rFonts w:ascii="Arial" w:hAnsi="Arial" w:eastAsia="Arial" w:cs="Arial"/>
          <w:b w:val="0"/>
          <w:i/>
          <w:color w:val="555555"/>
          <w:sz w:val="19"/>
        </w:rPr>
        <w:t>Table 6-3: Preventable vs non-preventable incident split.</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Preventability</w:t>
            </w:r>
          </w:p>
        </w:tc>
        <w:tc>
          <w:tcPr>
            <w:tcW w:type="dxa" w:w="2409"/>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Incidents</w:t>
            </w:r>
          </w:p>
        </w:tc>
        <w:tc>
          <w:tcPr>
            <w:tcW w:type="dxa" w:w="2409"/>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Total Claims ($)</w:t>
            </w:r>
          </w:p>
        </w:tc>
        <w:tc>
          <w:tcPr>
            <w:tcW w:type="dxa" w:w="2409"/>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Avg Claim ($)</w:t>
            </w:r>
          </w:p>
        </w:tc>
      </w:tr>
      <w:tr>
        <w:tc>
          <w:tcPr>
            <w:tcW w:type="dxa" w:w="2409"/>
            <w:tcMar>
              <w:top w:w="80" w:type="dxa"/>
              <w:bottom w:w="80" w:type="dxa"/>
              <w:left w:w="120" w:type="dxa"/>
              <w:right w:w="120" w:type="dxa"/>
            </w:tcMar>
          </w:tcPr>
          <w:p>
            <w:pPr>
              <w:jc w:val="left"/>
            </w:pPr>
            <w:r/>
            <w:r>
              <w:rPr>
                <w:rFonts w:ascii="Arial" w:hAnsi="Arial" w:eastAsia="Arial" w:cs="Arial"/>
                <w:b w:val="0"/>
                <w:i w:val="0"/>
                <w:sz w:val="20"/>
              </w:rPr>
              <w:t>Non-Preventable</w:t>
            </w:r>
          </w:p>
        </w:tc>
        <w:tc>
          <w:tcPr>
            <w:tcW w:type="dxa" w:w="2409"/>
            <w:tcMar>
              <w:top w:w="80" w:type="dxa"/>
              <w:bottom w:w="80" w:type="dxa"/>
              <w:left w:w="120" w:type="dxa"/>
              <w:right w:w="120" w:type="dxa"/>
            </w:tcMar>
          </w:tcPr>
          <w:p>
            <w:pPr>
              <w:jc w:val="left"/>
            </w:pPr>
            <w:r/>
            <w:r>
              <w:rPr>
                <w:rFonts w:ascii="Arial" w:hAnsi="Arial" w:eastAsia="Arial" w:cs="Arial"/>
                <w:b w:val="0"/>
                <w:i w:val="0"/>
                <w:sz w:val="20"/>
              </w:rPr>
              <w:t>106</w:t>
            </w:r>
          </w:p>
        </w:tc>
        <w:tc>
          <w:tcPr>
            <w:tcW w:type="dxa" w:w="2409"/>
            <w:tcMar>
              <w:top w:w="80" w:type="dxa"/>
              <w:bottom w:w="80" w:type="dxa"/>
              <w:left w:w="120" w:type="dxa"/>
              <w:right w:w="120" w:type="dxa"/>
            </w:tcMar>
          </w:tcPr>
          <w:p>
            <w:pPr>
              <w:jc w:val="left"/>
            </w:pPr>
            <w:r/>
            <w:r>
              <w:rPr>
                <w:rFonts w:ascii="Arial" w:hAnsi="Arial" w:eastAsia="Arial" w:cs="Arial"/>
                <w:b w:val="0"/>
                <w:i w:val="0"/>
                <w:sz w:val="20"/>
              </w:rPr>
              <w:t>$1,748,696</w:t>
            </w:r>
          </w:p>
        </w:tc>
        <w:tc>
          <w:tcPr>
            <w:tcW w:type="dxa" w:w="2409"/>
            <w:tcMar>
              <w:top w:w="80" w:type="dxa"/>
              <w:bottom w:w="80" w:type="dxa"/>
              <w:left w:w="120" w:type="dxa"/>
              <w:right w:w="120" w:type="dxa"/>
            </w:tcMar>
          </w:tcPr>
          <w:p>
            <w:pPr>
              <w:jc w:val="left"/>
            </w:pPr>
            <w:r/>
            <w:r>
              <w:rPr>
                <w:rFonts w:ascii="Arial" w:hAnsi="Arial" w:eastAsia="Arial" w:cs="Arial"/>
                <w:b w:val="0"/>
                <w:i w:val="0"/>
                <w:sz w:val="20"/>
              </w:rPr>
              <w:t>$16,497</w:t>
            </w:r>
          </w:p>
        </w:tc>
      </w:tr>
      <w:tr>
        <w:tc>
          <w:tcPr>
            <w:tcW w:type="dxa" w:w="2409"/>
            <w:tcMar>
              <w:top w:w="80" w:type="dxa"/>
              <w:bottom w:w="80" w:type="dxa"/>
              <w:left w:w="120" w:type="dxa"/>
              <w:right w:w="120" w:type="dxa"/>
            </w:tcMar>
            <w:shd w:val="clear" w:color="auto" w:fill="F2F2F2"/>
          </w:tcPr>
          <w:p>
            <w:pPr>
              <w:jc w:val="left"/>
            </w:pPr>
            <w:r/>
            <w:r>
              <w:rPr>
                <w:rFonts w:ascii="Arial" w:hAnsi="Arial" w:eastAsia="Arial" w:cs="Arial"/>
                <w:b w:val="0"/>
                <w:i w:val="0"/>
                <w:sz w:val="20"/>
              </w:rPr>
              <w:t>Preventable</w:t>
            </w:r>
          </w:p>
        </w:tc>
        <w:tc>
          <w:tcPr>
            <w:tcW w:type="dxa" w:w="2409"/>
            <w:tcMar>
              <w:top w:w="80" w:type="dxa"/>
              <w:bottom w:w="80" w:type="dxa"/>
              <w:left w:w="120" w:type="dxa"/>
              <w:right w:w="120" w:type="dxa"/>
            </w:tcMar>
            <w:shd w:val="clear" w:color="auto" w:fill="F2F2F2"/>
          </w:tcPr>
          <w:p>
            <w:pPr>
              <w:jc w:val="left"/>
            </w:pPr>
            <w:r/>
            <w:r>
              <w:rPr>
                <w:rFonts w:ascii="Arial" w:hAnsi="Arial" w:eastAsia="Arial" w:cs="Arial"/>
                <w:b w:val="0"/>
                <w:i w:val="0"/>
                <w:sz w:val="20"/>
              </w:rPr>
              <w:t>64</w:t>
            </w:r>
          </w:p>
        </w:tc>
        <w:tc>
          <w:tcPr>
            <w:tcW w:type="dxa" w:w="2409"/>
            <w:tcMar>
              <w:top w:w="80" w:type="dxa"/>
              <w:bottom w:w="80" w:type="dxa"/>
              <w:left w:w="120" w:type="dxa"/>
              <w:right w:w="120" w:type="dxa"/>
            </w:tcMar>
            <w:shd w:val="clear" w:color="auto" w:fill="F2F2F2"/>
          </w:tcPr>
          <w:p>
            <w:pPr>
              <w:jc w:val="left"/>
            </w:pPr>
            <w:r/>
            <w:r>
              <w:rPr>
                <w:rFonts w:ascii="Arial" w:hAnsi="Arial" w:eastAsia="Arial" w:cs="Arial"/>
                <w:b w:val="0"/>
                <w:i w:val="0"/>
                <w:sz w:val="20"/>
              </w:rPr>
              <w:t>$904,476</w:t>
            </w:r>
          </w:p>
        </w:tc>
        <w:tc>
          <w:tcPr>
            <w:tcW w:type="dxa" w:w="2409"/>
            <w:tcMar>
              <w:top w:w="80" w:type="dxa"/>
              <w:bottom w:w="80" w:type="dxa"/>
              <w:left w:w="120" w:type="dxa"/>
              <w:right w:w="120" w:type="dxa"/>
            </w:tcMar>
            <w:shd w:val="clear" w:color="auto" w:fill="F2F2F2"/>
          </w:tcPr>
          <w:p>
            <w:pPr>
              <w:jc w:val="left"/>
            </w:pPr>
            <w:r/>
            <w:r>
              <w:rPr>
                <w:rFonts w:ascii="Arial" w:hAnsi="Arial" w:eastAsia="Arial" w:cs="Arial"/>
                <w:b w:val="0"/>
                <w:i w:val="0"/>
                <w:sz w:val="20"/>
              </w:rPr>
              <w:t>$14,132</w:t>
            </w:r>
          </w:p>
        </w:tc>
      </w:tr>
    </w:tbl>
    <w:p>
      <w:pPr>
        <w:spacing w:after="80"/>
      </w:pPr>
    </w:p>
    <w:p>
      <w:pPr>
        <w:spacing w:after="120" w:before="0" w:line="312" w:lineRule="auto"/>
        <w:ind w:firstLine="0"/>
      </w:pPr>
      <w:r>
        <w:rPr>
          <w:rFonts w:ascii="Arial" w:hAnsi="Arial" w:eastAsia="Arial" w:cs="Arial"/>
          <w:b w:val="0"/>
          <w:i w:val="0"/>
          <w:sz w:val="22"/>
        </w:rPr>
        <w:t>Of the 170 incidents, 64 (38%) are flagged as preventable — meaning they could have been avoided through different driver behavior, training, or decision-making. These preventable incidents account for $904,476 in claims (34.1% of total). While non-preventable incidents represent the larger dollar share ($1,748,696, 65.9%), they are by definition not directly actionable. The preventable segment is therefore the highest-leverage target for intervention: every preventable incident avoided is a dollar of claim cost eliminated plus a reduction in future premium exposure.</w:t>
      </w:r>
    </w:p>
    <w:p>
      <w:pPr>
        <w:pStyle w:val="Heading1"/>
        <w:keepNext/>
        <w:spacing w:before="280" w:after="120"/>
      </w:pPr>
      <w:r>
        <w:rPr>
          <w:rFonts w:ascii="Arial" w:hAnsi="Arial" w:eastAsia="Arial" w:cs="Arial"/>
          <w:b/>
          <w:i w:val="0"/>
          <w:color w:val="2E5A88"/>
          <w:sz w:val="32"/>
        </w:rPr>
        <w:t>7. Insights &amp; Action Plan</w:t>
      </w:r>
    </w:p>
    <w:p>
      <w:pPr>
        <w:pStyle w:val="Heading2"/>
        <w:keepNext/>
        <w:spacing w:before="200" w:after="120"/>
      </w:pPr>
      <w:r>
        <w:rPr>
          <w:rFonts w:ascii="Arial" w:hAnsi="Arial" w:eastAsia="Arial" w:cs="Arial"/>
          <w:b/>
          <w:i w:val="0"/>
          <w:color w:val="2E5A88"/>
          <w:sz w:val="26"/>
        </w:rPr>
        <w:t>Key Findings</w:t>
      </w:r>
    </w:p>
    <w:p>
      <w:pPr>
        <w:pStyle w:val="ListNumber"/>
        <w:spacing w:line="312" w:lineRule="auto"/>
      </w:pPr>
      <w:r>
        <w:rPr>
          <w:rFonts w:ascii="Arial" w:hAnsi="Arial" w:eastAsia="Arial" w:cs="Arial"/>
          <w:b w:val="0"/>
          <w:i w:val="0"/>
          <w:sz w:val="22"/>
        </w:rPr>
        <w:t>Fleet logged 85,410 trips over 3 years, averaging 1430 miles/trip at 6.50 MPG.</w:t>
      </w:r>
    </w:p>
    <w:p>
      <w:pPr>
        <w:pStyle w:val="ListNumber"/>
        <w:spacing w:line="312" w:lineRule="auto"/>
      </w:pPr>
      <w:r>
        <w:rPr>
          <w:rFonts w:ascii="Arial" w:hAnsi="Arial" w:eastAsia="Arial" w:cs="Arial"/>
          <w:b w:val="0"/>
          <w:i w:val="0"/>
          <w:sz w:val="22"/>
        </w:rPr>
        <w:t>Trip volume held remarkably stable YoY (2022:28,589 → 2024:28,656, ±1.7%), indicating mature, demand-constrained operations.</w:t>
      </w:r>
    </w:p>
    <w:p>
      <w:pPr>
        <w:pStyle w:val="ListNumber"/>
        <w:spacing w:line="312" w:lineRule="auto"/>
      </w:pPr>
      <w:r>
        <w:rPr>
          <w:rFonts w:ascii="Arial" w:hAnsi="Arial" w:eastAsia="Arial" w:cs="Arial"/>
          <w:b w:val="0"/>
          <w:i w:val="0"/>
          <w:sz w:val="22"/>
        </w:rPr>
        <w:t>Safety incident rate ticked up in 2024 to 2.09 per 1,000 trips (from 1.96 in 2022) — a 6.6% cumulative increase.</w:t>
      </w:r>
    </w:p>
    <w:p>
      <w:pPr>
        <w:pStyle w:val="ListNumber"/>
        <w:spacing w:line="312" w:lineRule="auto"/>
      </w:pPr>
      <w:r>
        <w:rPr>
          <w:rFonts w:ascii="Arial" w:hAnsi="Arial" w:eastAsia="Arial" w:cs="Arial"/>
          <w:b w:val="0"/>
          <w:i w:val="0"/>
          <w:sz w:val="22"/>
        </w:rPr>
        <w:t>Preventable incidents account for 34.1% of total claim exposure ($904,476 of $2,653,172) — directly actionable through driver training and coaching.</w:t>
      </w:r>
    </w:p>
    <w:p>
      <w:pPr>
        <w:pStyle w:val="ListNumber"/>
        <w:spacing w:line="312" w:lineRule="auto"/>
      </w:pPr>
      <w:r>
        <w:rPr>
          <w:rFonts w:ascii="Arial" w:hAnsi="Arial" w:eastAsia="Arial" w:cs="Arial"/>
          <w:b w:val="0"/>
          <w:i w:val="0"/>
          <w:sz w:val="22"/>
        </w:rPr>
        <w:t>1,680 trips (2.0%) have no trailer assigned in source data, blocking trailer-level utilization and cost attribution.</w:t>
      </w:r>
    </w:p>
    <w:p>
      <w:pPr>
        <w:pStyle w:val="ListNumber"/>
        <w:spacing w:line="312" w:lineRule="auto"/>
      </w:pPr>
      <w:r>
        <w:rPr>
          <w:rFonts w:ascii="Arial" w:hAnsi="Arial" w:eastAsia="Arial" w:cs="Arial"/>
          <w:b w:val="0"/>
          <w:i w:val="0"/>
          <w:sz w:val="22"/>
        </w:rPr>
        <w:t>Chicago, Seattle, and Memphis concentrate $678,876 in claims (25.6% of total) — clear geographic clustering.</w:t>
      </w:r>
    </w:p>
    <w:p>
      <w:pPr>
        <w:pStyle w:val="Heading2"/>
        <w:keepNext/>
        <w:spacing w:before="200" w:after="120"/>
      </w:pPr>
      <w:r>
        <w:rPr>
          <w:rFonts w:ascii="Arial" w:hAnsi="Arial" w:eastAsia="Arial" w:cs="Arial"/>
          <w:b/>
          <w:i w:val="0"/>
          <w:color w:val="2E5A88"/>
          <w:sz w:val="26"/>
        </w:rPr>
        <w:t>Recommendations</w:t>
      </w:r>
    </w:p>
    <w:p>
      <w:pPr>
        <w:spacing w:after="120" w:before="0" w:line="312" w:lineRule="auto"/>
        <w:ind w:firstLine="0"/>
      </w:pPr>
      <w:r>
        <w:rPr>
          <w:rFonts w:ascii="Arial" w:hAnsi="Arial" w:eastAsia="Arial" w:cs="Arial"/>
          <w:b w:val="0"/>
          <w:i w:val="0"/>
          <w:sz w:val="22"/>
        </w:rPr>
        <w:t>Five recommendations are prioritized below. Each includes the action, expected impact, key risks, and a validation mechanism so that progress can be tracked objectively rather than asserted.</w:t>
      </w:r>
    </w:p>
    <w:p>
      <w:pPr>
        <w:pStyle w:val="Heading3"/>
        <w:keepNext/>
        <w:spacing w:before="160" w:after="120"/>
      </w:pPr>
      <w:r>
        <w:rPr>
          <w:rFonts w:ascii="Arial" w:hAnsi="Arial" w:eastAsia="Arial" w:cs="Arial"/>
          <w:b/>
          <w:i w:val="0"/>
          <w:color w:val="2E5A88"/>
          <w:sz w:val="23"/>
        </w:rPr>
        <w:t>R1. Close the trailer-assignment data gap  (Priority: HIGH)</w:t>
      </w:r>
    </w:p>
    <w:tbl>
      <w:tblPr>
        <w:tblStyle w:val="TableGrid"/>
        <w:tblW w:type="auto" w:w="0"/>
        <w:jc w:val="center"/>
        <w:tblLayout w:type="autofit"/>
        <w:tblLook w:firstColumn="1" w:firstRow="1" w:lastColumn="0" w:lastRow="0" w:noHBand="0" w:noVBand="1" w:val="04A0"/>
      </w:tblPr>
      <w:tblGrid>
        <w:gridCol w:w="4819"/>
        <w:gridCol w:w="4819"/>
      </w:tblGrid>
      <w:tr>
        <w:tc>
          <w:tcPr>
            <w:tcW w:type="dxa" w:w="1984"/>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Dimension</w:t>
            </w:r>
          </w:p>
        </w:tc>
        <w:tc>
          <w:tcPr>
            <w:tcW w:type="dxa" w:w="7370"/>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Detail</w:t>
            </w:r>
          </w:p>
        </w:tc>
      </w:tr>
      <w:tr>
        <w:tc>
          <w:tcPr>
            <w:tcW w:type="dxa" w:w="1984"/>
            <w:tcMar>
              <w:top w:w="80" w:type="dxa"/>
              <w:bottom w:w="80" w:type="dxa"/>
              <w:left w:w="120" w:type="dxa"/>
              <w:right w:w="120" w:type="dxa"/>
            </w:tcMar>
          </w:tcPr>
          <w:p>
            <w:pPr>
              <w:jc w:val="left"/>
            </w:pPr>
            <w:r/>
            <w:r>
              <w:rPr>
                <w:rFonts w:ascii="Arial" w:hAnsi="Arial" w:eastAsia="Arial" w:cs="Arial"/>
                <w:b w:val="0"/>
                <w:i w:val="0"/>
                <w:sz w:val="20"/>
              </w:rPr>
              <w:t>Impact</w:t>
            </w:r>
          </w:p>
        </w:tc>
        <w:tc>
          <w:tcPr>
            <w:tcW w:type="dxa" w:w="7370"/>
            <w:tcMar>
              <w:top w:w="80" w:type="dxa"/>
              <w:bottom w:w="80" w:type="dxa"/>
              <w:left w:w="120" w:type="dxa"/>
              <w:right w:w="120" w:type="dxa"/>
            </w:tcMar>
          </w:tcPr>
          <w:p>
            <w:pPr>
              <w:jc w:val="left"/>
            </w:pPr>
            <w:r/>
            <w:r>
              <w:rPr>
                <w:rFonts w:ascii="Arial" w:hAnsi="Arial" w:eastAsia="Arial" w:cs="Arial"/>
                <w:b w:val="0"/>
                <w:i w:val="0"/>
                <w:sz w:val="20"/>
              </w:rPr>
              <w:t>Restores trailer-level utilization, depreciation, and cost-per-mile attribution for ~2% of fleet activity (1,680 trips/yr).</w:t>
            </w:r>
          </w:p>
        </w:tc>
      </w:tr>
      <w:tr>
        <w:tc>
          <w:tcPr>
            <w:tcW w:type="dxa" w:w="1984"/>
            <w:tcMar>
              <w:top w:w="80" w:type="dxa"/>
              <w:bottom w:w="80" w:type="dxa"/>
              <w:left w:w="120" w:type="dxa"/>
              <w:right w:w="120" w:type="dxa"/>
            </w:tcMar>
            <w:shd w:val="clear" w:color="auto" w:fill="F2F2F2"/>
          </w:tcPr>
          <w:p>
            <w:pPr>
              <w:jc w:val="left"/>
            </w:pPr>
            <w:r/>
            <w:r>
              <w:rPr>
                <w:rFonts w:ascii="Arial" w:hAnsi="Arial" w:eastAsia="Arial" w:cs="Arial"/>
                <w:b w:val="0"/>
                <w:i w:val="0"/>
                <w:sz w:val="20"/>
              </w:rPr>
              <w:t>Action</w:t>
            </w:r>
          </w:p>
        </w:tc>
        <w:tc>
          <w:tcPr>
            <w:tcW w:type="dxa" w:w="7370"/>
            <w:tcMar>
              <w:top w:w="80" w:type="dxa"/>
              <w:bottom w:w="80" w:type="dxa"/>
              <w:left w:w="120" w:type="dxa"/>
              <w:right w:w="120" w:type="dxa"/>
            </w:tcMar>
            <w:shd w:val="clear" w:color="auto" w:fill="F2F2F2"/>
          </w:tcPr>
          <w:p>
            <w:pPr>
              <w:jc w:val="left"/>
            </w:pPr>
            <w:r/>
            <w:r>
              <w:rPr>
                <w:rFonts w:ascii="Arial" w:hAnsi="Arial" w:eastAsia="Arial" w:cs="Arial"/>
                <w:b w:val="0"/>
                <w:i w:val="0"/>
                <w:sz w:val="20"/>
              </w:rPr>
              <w:t>Mandate trailer_id capture at dispatch in the TMS; add a validation rule that blocks dispatch confirmation when trailer_id is blank; backfill the 1,680 historical rows via TMS audit log.</w:t>
            </w:r>
          </w:p>
        </w:tc>
      </w:tr>
      <w:tr>
        <w:tc>
          <w:tcPr>
            <w:tcW w:type="dxa" w:w="1984"/>
            <w:tcMar>
              <w:top w:w="80" w:type="dxa"/>
              <w:bottom w:w="80" w:type="dxa"/>
              <w:left w:w="120" w:type="dxa"/>
              <w:right w:w="120" w:type="dxa"/>
            </w:tcMar>
          </w:tcPr>
          <w:p>
            <w:pPr>
              <w:jc w:val="left"/>
            </w:pPr>
            <w:r/>
            <w:r>
              <w:rPr>
                <w:rFonts w:ascii="Arial" w:hAnsi="Arial" w:eastAsia="Arial" w:cs="Arial"/>
                <w:b w:val="0"/>
                <w:i w:val="0"/>
                <w:sz w:val="20"/>
              </w:rPr>
              <w:t>Risks</w:t>
            </w:r>
          </w:p>
        </w:tc>
        <w:tc>
          <w:tcPr>
            <w:tcW w:type="dxa" w:w="7370"/>
            <w:tcMar>
              <w:top w:w="80" w:type="dxa"/>
              <w:bottom w:w="80" w:type="dxa"/>
              <w:left w:w="120" w:type="dxa"/>
              <w:right w:w="120" w:type="dxa"/>
            </w:tcMar>
          </w:tcPr>
          <w:p>
            <w:pPr>
              <w:jc w:val="left"/>
            </w:pPr>
            <w:r/>
            <w:r>
              <w:rPr>
                <w:rFonts w:ascii="Arial" w:hAnsi="Arial" w:eastAsia="Arial" w:cs="Arial"/>
                <w:b w:val="0"/>
                <w:i w:val="0"/>
                <w:sz w:val="20"/>
              </w:rPr>
              <w:t>Driver pushback if dispatch flow slows; mitigate with a 30-day soft-enforcement window.</w:t>
            </w:r>
          </w:p>
        </w:tc>
      </w:tr>
      <w:tr>
        <w:tc>
          <w:tcPr>
            <w:tcW w:type="dxa" w:w="1984"/>
            <w:tcMar>
              <w:top w:w="80" w:type="dxa"/>
              <w:bottom w:w="80" w:type="dxa"/>
              <w:left w:w="120" w:type="dxa"/>
              <w:right w:w="120" w:type="dxa"/>
            </w:tcMar>
            <w:shd w:val="clear" w:color="auto" w:fill="F2F2F2"/>
          </w:tcPr>
          <w:p>
            <w:pPr>
              <w:jc w:val="left"/>
            </w:pPr>
            <w:r/>
            <w:r>
              <w:rPr>
                <w:rFonts w:ascii="Arial" w:hAnsi="Arial" w:eastAsia="Arial" w:cs="Arial"/>
                <w:b w:val="0"/>
                <w:i w:val="0"/>
                <w:sz w:val="20"/>
              </w:rPr>
              <w:t>Validation</w:t>
            </w:r>
          </w:p>
        </w:tc>
        <w:tc>
          <w:tcPr>
            <w:tcW w:type="dxa" w:w="7370"/>
            <w:tcMar>
              <w:top w:w="80" w:type="dxa"/>
              <w:bottom w:w="80" w:type="dxa"/>
              <w:left w:w="120" w:type="dxa"/>
              <w:right w:w="120" w:type="dxa"/>
            </w:tcMar>
            <w:shd w:val="clear" w:color="auto" w:fill="F2F2F2"/>
          </w:tcPr>
          <w:p>
            <w:pPr>
              <w:jc w:val="left"/>
            </w:pPr>
            <w:r/>
            <w:r>
              <w:rPr>
                <w:rFonts w:ascii="Arial" w:hAnsi="Arial" w:eastAsia="Arial" w:cs="Arial"/>
                <w:b w:val="0"/>
                <w:i w:val="0"/>
                <w:sz w:val="20"/>
              </w:rPr>
              <w:t>Re-run DQ checks monthly; target &lt;0.5% blank trailer_id within 60 days.</w:t>
            </w:r>
          </w:p>
        </w:tc>
      </w:tr>
    </w:tbl>
    <w:p>
      <w:pPr>
        <w:spacing w:after="80"/>
      </w:pPr>
    </w:p>
    <w:p>
      <w:pPr>
        <w:pStyle w:val="Heading3"/>
        <w:keepNext/>
        <w:spacing w:before="160" w:after="120"/>
      </w:pPr>
      <w:r>
        <w:rPr>
          <w:rFonts w:ascii="Arial" w:hAnsi="Arial" w:eastAsia="Arial" w:cs="Arial"/>
          <w:b/>
          <w:i w:val="0"/>
          <w:color w:val="2E5A88"/>
          <w:sz w:val="23"/>
        </w:rPr>
        <w:t>R2. Targeted safety intervention in top-3 claim cities  (Priority: HIGH)</w:t>
      </w:r>
    </w:p>
    <w:tbl>
      <w:tblPr>
        <w:tblStyle w:val="TableGrid"/>
        <w:tblW w:type="auto" w:w="0"/>
        <w:jc w:val="center"/>
        <w:tblLayout w:type="autofit"/>
        <w:tblLook w:firstColumn="1" w:firstRow="1" w:lastColumn="0" w:lastRow="0" w:noHBand="0" w:noVBand="1" w:val="04A0"/>
      </w:tblPr>
      <w:tblGrid>
        <w:gridCol w:w="4819"/>
        <w:gridCol w:w="4819"/>
      </w:tblGrid>
      <w:tr>
        <w:tc>
          <w:tcPr>
            <w:tcW w:type="dxa" w:w="1984"/>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Dimension</w:t>
            </w:r>
          </w:p>
        </w:tc>
        <w:tc>
          <w:tcPr>
            <w:tcW w:type="dxa" w:w="7370"/>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Detail</w:t>
            </w:r>
          </w:p>
        </w:tc>
      </w:tr>
      <w:tr>
        <w:tc>
          <w:tcPr>
            <w:tcW w:type="dxa" w:w="1984"/>
            <w:tcMar>
              <w:top w:w="80" w:type="dxa"/>
              <w:bottom w:w="80" w:type="dxa"/>
              <w:left w:w="120" w:type="dxa"/>
              <w:right w:w="120" w:type="dxa"/>
            </w:tcMar>
          </w:tcPr>
          <w:p>
            <w:pPr>
              <w:jc w:val="left"/>
            </w:pPr>
            <w:r/>
            <w:r>
              <w:rPr>
                <w:rFonts w:ascii="Arial" w:hAnsi="Arial" w:eastAsia="Arial" w:cs="Arial"/>
                <w:b w:val="0"/>
                <w:i w:val="0"/>
                <w:sz w:val="20"/>
              </w:rPr>
              <w:t>Impact</w:t>
            </w:r>
          </w:p>
        </w:tc>
        <w:tc>
          <w:tcPr>
            <w:tcW w:type="dxa" w:w="7370"/>
            <w:tcMar>
              <w:top w:w="80" w:type="dxa"/>
              <w:bottom w:w="80" w:type="dxa"/>
              <w:left w:w="120" w:type="dxa"/>
              <w:right w:w="120" w:type="dxa"/>
            </w:tcMar>
          </w:tcPr>
          <w:p>
            <w:pPr>
              <w:jc w:val="left"/>
            </w:pPr>
            <w:r/>
            <w:r>
              <w:rPr>
                <w:rFonts w:ascii="Arial" w:hAnsi="Arial" w:eastAsia="Arial" w:cs="Arial"/>
                <w:b w:val="0"/>
                <w:i w:val="0"/>
                <w:sz w:val="20"/>
              </w:rPr>
              <w:t>Chicago, Seattle, Memphis drive &gt;26.0% of claim dollars; a 25% reduction would avoid ~$169,719/yr.</w:t>
            </w:r>
          </w:p>
        </w:tc>
      </w:tr>
      <w:tr>
        <w:tc>
          <w:tcPr>
            <w:tcW w:type="dxa" w:w="1984"/>
            <w:tcMar>
              <w:top w:w="80" w:type="dxa"/>
              <w:bottom w:w="80" w:type="dxa"/>
              <w:left w:w="120" w:type="dxa"/>
              <w:right w:w="120" w:type="dxa"/>
            </w:tcMar>
            <w:shd w:val="clear" w:color="auto" w:fill="F2F2F2"/>
          </w:tcPr>
          <w:p>
            <w:pPr>
              <w:jc w:val="left"/>
            </w:pPr>
            <w:r/>
            <w:r>
              <w:rPr>
                <w:rFonts w:ascii="Arial" w:hAnsi="Arial" w:eastAsia="Arial" w:cs="Arial"/>
                <w:b w:val="0"/>
                <w:i w:val="0"/>
                <w:sz w:val="20"/>
              </w:rPr>
              <w:t>Action</w:t>
            </w:r>
          </w:p>
        </w:tc>
        <w:tc>
          <w:tcPr>
            <w:tcW w:type="dxa" w:w="7370"/>
            <w:tcMar>
              <w:top w:w="80" w:type="dxa"/>
              <w:bottom w:w="80" w:type="dxa"/>
              <w:left w:w="120" w:type="dxa"/>
              <w:right w:w="120" w:type="dxa"/>
            </w:tcMar>
            <w:shd w:val="clear" w:color="auto" w:fill="F2F2F2"/>
          </w:tcPr>
          <w:p>
            <w:pPr>
              <w:jc w:val="left"/>
            </w:pPr>
            <w:r/>
            <w:r>
              <w:rPr>
                <w:rFonts w:ascii="Arial" w:hAnsi="Arial" w:eastAsia="Arial" w:cs="Arial"/>
                <w:b w:val="0"/>
                <w:i w:val="0"/>
                <w:sz w:val="20"/>
              </w:rPr>
              <w:t>Deploy city-specific driver coaching (weather, dock, traffic patterns); add telematics-based hard-braking alerts on routes into these cities; review top-3 repeat-offender drivers.</w:t>
            </w:r>
          </w:p>
        </w:tc>
      </w:tr>
      <w:tr>
        <w:tc>
          <w:tcPr>
            <w:tcW w:type="dxa" w:w="1984"/>
            <w:tcMar>
              <w:top w:w="80" w:type="dxa"/>
              <w:bottom w:w="80" w:type="dxa"/>
              <w:left w:w="120" w:type="dxa"/>
              <w:right w:w="120" w:type="dxa"/>
            </w:tcMar>
          </w:tcPr>
          <w:p>
            <w:pPr>
              <w:jc w:val="left"/>
            </w:pPr>
            <w:r/>
            <w:r>
              <w:rPr>
                <w:rFonts w:ascii="Arial" w:hAnsi="Arial" w:eastAsia="Arial" w:cs="Arial"/>
                <w:b w:val="0"/>
                <w:i w:val="0"/>
                <w:sz w:val="20"/>
              </w:rPr>
              <w:t>Risks</w:t>
            </w:r>
          </w:p>
        </w:tc>
        <w:tc>
          <w:tcPr>
            <w:tcW w:type="dxa" w:w="7370"/>
            <w:tcMar>
              <w:top w:w="80" w:type="dxa"/>
              <w:bottom w:w="80" w:type="dxa"/>
              <w:left w:w="120" w:type="dxa"/>
              <w:right w:w="120" w:type="dxa"/>
            </w:tcMar>
          </w:tcPr>
          <w:p>
            <w:pPr>
              <w:jc w:val="left"/>
            </w:pPr>
            <w:r/>
            <w:r>
              <w:rPr>
                <w:rFonts w:ascii="Arial" w:hAnsi="Arial" w:eastAsia="Arial" w:cs="Arial"/>
                <w:b w:val="0"/>
                <w:i w:val="0"/>
                <w:sz w:val="20"/>
              </w:rPr>
              <w:t>Coaching cost (~$15k); potential driver turnover if perceived as punitive. Frame as coaching, not discipline.</w:t>
            </w:r>
          </w:p>
        </w:tc>
      </w:tr>
      <w:tr>
        <w:tc>
          <w:tcPr>
            <w:tcW w:type="dxa" w:w="1984"/>
            <w:tcMar>
              <w:top w:w="80" w:type="dxa"/>
              <w:bottom w:w="80" w:type="dxa"/>
              <w:left w:w="120" w:type="dxa"/>
              <w:right w:w="120" w:type="dxa"/>
            </w:tcMar>
            <w:shd w:val="clear" w:color="auto" w:fill="F2F2F2"/>
          </w:tcPr>
          <w:p>
            <w:pPr>
              <w:jc w:val="left"/>
            </w:pPr>
            <w:r/>
            <w:r>
              <w:rPr>
                <w:rFonts w:ascii="Arial" w:hAnsi="Arial" w:eastAsia="Arial" w:cs="Arial"/>
                <w:b w:val="0"/>
                <w:i w:val="0"/>
                <w:sz w:val="20"/>
              </w:rPr>
              <w:t>Validation</w:t>
            </w:r>
          </w:p>
        </w:tc>
        <w:tc>
          <w:tcPr>
            <w:tcW w:type="dxa" w:w="7370"/>
            <w:tcMar>
              <w:top w:w="80" w:type="dxa"/>
              <w:bottom w:w="80" w:type="dxa"/>
              <w:left w:w="120" w:type="dxa"/>
              <w:right w:w="120" w:type="dxa"/>
            </w:tcMar>
            <w:shd w:val="clear" w:color="auto" w:fill="F2F2F2"/>
          </w:tcPr>
          <w:p>
            <w:pPr>
              <w:jc w:val="left"/>
            </w:pPr>
            <w:r/>
            <w:r>
              <w:rPr>
                <w:rFonts w:ascii="Arial" w:hAnsi="Arial" w:eastAsia="Arial" w:cs="Arial"/>
                <w:b w:val="0"/>
                <w:i w:val="0"/>
                <w:sz w:val="20"/>
              </w:rPr>
              <w:t>Compare quarterly claim run-rate in target cities vs. same quarter prior year.</w:t>
            </w:r>
          </w:p>
        </w:tc>
      </w:tr>
    </w:tbl>
    <w:p>
      <w:pPr>
        <w:spacing w:after="80"/>
      </w:pPr>
    </w:p>
    <w:p>
      <w:pPr>
        <w:pStyle w:val="Heading3"/>
        <w:keepNext/>
        <w:spacing w:before="160" w:after="120"/>
      </w:pPr>
      <w:r>
        <w:rPr>
          <w:rFonts w:ascii="Arial" w:hAnsi="Arial" w:eastAsia="Arial" w:cs="Arial"/>
          <w:b/>
          <w:i w:val="0"/>
          <w:color w:val="2E5A88"/>
          <w:sz w:val="23"/>
        </w:rPr>
        <w:t>R3. Reduce preventable incidents (one-third of claim $, fully controllable)  (Priority: MEDIUM)</w:t>
      </w:r>
    </w:p>
    <w:tbl>
      <w:tblPr>
        <w:tblStyle w:val="TableGrid"/>
        <w:tblW w:type="auto" w:w="0"/>
        <w:jc w:val="center"/>
        <w:tblLayout w:type="autofit"/>
        <w:tblLook w:firstColumn="1" w:firstRow="1" w:lastColumn="0" w:lastRow="0" w:noHBand="0" w:noVBand="1" w:val="04A0"/>
      </w:tblPr>
      <w:tblGrid>
        <w:gridCol w:w="4819"/>
        <w:gridCol w:w="4819"/>
      </w:tblGrid>
      <w:tr>
        <w:tc>
          <w:tcPr>
            <w:tcW w:type="dxa" w:w="1984"/>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Dimension</w:t>
            </w:r>
          </w:p>
        </w:tc>
        <w:tc>
          <w:tcPr>
            <w:tcW w:type="dxa" w:w="7370"/>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Detail</w:t>
            </w:r>
          </w:p>
        </w:tc>
      </w:tr>
      <w:tr>
        <w:tc>
          <w:tcPr>
            <w:tcW w:type="dxa" w:w="1984"/>
            <w:tcMar>
              <w:top w:w="80" w:type="dxa"/>
              <w:bottom w:w="80" w:type="dxa"/>
              <w:left w:w="120" w:type="dxa"/>
              <w:right w:w="120" w:type="dxa"/>
            </w:tcMar>
          </w:tcPr>
          <w:p>
            <w:pPr>
              <w:jc w:val="left"/>
            </w:pPr>
            <w:r/>
            <w:r>
              <w:rPr>
                <w:rFonts w:ascii="Arial" w:hAnsi="Arial" w:eastAsia="Arial" w:cs="Arial"/>
                <w:b w:val="0"/>
                <w:i w:val="0"/>
                <w:sz w:val="20"/>
              </w:rPr>
              <w:t>Impact</w:t>
            </w:r>
          </w:p>
        </w:tc>
        <w:tc>
          <w:tcPr>
            <w:tcW w:type="dxa" w:w="7370"/>
            <w:tcMar>
              <w:top w:w="80" w:type="dxa"/>
              <w:bottom w:w="80" w:type="dxa"/>
              <w:left w:w="120" w:type="dxa"/>
              <w:right w:w="120" w:type="dxa"/>
            </w:tcMar>
          </w:tcPr>
          <w:p>
            <w:pPr>
              <w:jc w:val="left"/>
            </w:pPr>
            <w:r/>
            <w:r>
              <w:rPr>
                <w:rFonts w:ascii="Arial" w:hAnsi="Arial" w:eastAsia="Arial" w:cs="Arial"/>
                <w:b w:val="0"/>
                <w:i w:val="0"/>
                <w:sz w:val="20"/>
              </w:rPr>
              <w:t>Preventable incidents = 34.1% of $2,653,172 total exposure. Even a 10% reduction avoids ~$90,448.</w:t>
            </w:r>
          </w:p>
        </w:tc>
      </w:tr>
      <w:tr>
        <w:tc>
          <w:tcPr>
            <w:tcW w:type="dxa" w:w="1984"/>
            <w:tcMar>
              <w:top w:w="80" w:type="dxa"/>
              <w:bottom w:w="80" w:type="dxa"/>
              <w:left w:w="120" w:type="dxa"/>
              <w:right w:w="120" w:type="dxa"/>
            </w:tcMar>
            <w:shd w:val="clear" w:color="auto" w:fill="F2F2F2"/>
          </w:tcPr>
          <w:p>
            <w:pPr>
              <w:jc w:val="left"/>
            </w:pPr>
            <w:r/>
            <w:r>
              <w:rPr>
                <w:rFonts w:ascii="Arial" w:hAnsi="Arial" w:eastAsia="Arial" w:cs="Arial"/>
                <w:b w:val="0"/>
                <w:i w:val="0"/>
                <w:sz w:val="20"/>
              </w:rPr>
              <w:t>Action</w:t>
            </w:r>
          </w:p>
        </w:tc>
        <w:tc>
          <w:tcPr>
            <w:tcW w:type="dxa" w:w="7370"/>
            <w:tcMar>
              <w:top w:w="80" w:type="dxa"/>
              <w:bottom w:w="80" w:type="dxa"/>
              <w:left w:w="120" w:type="dxa"/>
              <w:right w:w="120" w:type="dxa"/>
            </w:tcMar>
            <w:shd w:val="clear" w:color="auto" w:fill="F2F2F2"/>
          </w:tcPr>
          <w:p>
            <w:pPr>
              <w:jc w:val="left"/>
            </w:pPr>
            <w:r/>
            <w:r>
              <w:rPr>
                <w:rFonts w:ascii="Arial" w:hAnsi="Arial" w:eastAsia="Arial" w:cs="Arial"/>
                <w:b w:val="0"/>
                <w:i w:val="0"/>
                <w:sz w:val="20"/>
              </w:rPr>
              <w:t>Launch a quarterly safety-scorecard program (preventable incidents, at-fault, injuries); tie a meaningful but fair fraction of driver bonus to scorecard; refresh defensive-driving curriculum.</w:t>
            </w:r>
          </w:p>
        </w:tc>
      </w:tr>
      <w:tr>
        <w:tc>
          <w:tcPr>
            <w:tcW w:type="dxa" w:w="1984"/>
            <w:tcMar>
              <w:top w:w="80" w:type="dxa"/>
              <w:bottom w:w="80" w:type="dxa"/>
              <w:left w:w="120" w:type="dxa"/>
              <w:right w:w="120" w:type="dxa"/>
            </w:tcMar>
          </w:tcPr>
          <w:p>
            <w:pPr>
              <w:jc w:val="left"/>
            </w:pPr>
            <w:r/>
            <w:r>
              <w:rPr>
                <w:rFonts w:ascii="Arial" w:hAnsi="Arial" w:eastAsia="Arial" w:cs="Arial"/>
                <w:b w:val="0"/>
                <w:i w:val="0"/>
                <w:sz w:val="20"/>
              </w:rPr>
              <w:t>Risks</w:t>
            </w:r>
          </w:p>
        </w:tc>
        <w:tc>
          <w:tcPr>
            <w:tcW w:type="dxa" w:w="7370"/>
            <w:tcMar>
              <w:top w:w="80" w:type="dxa"/>
              <w:bottom w:w="80" w:type="dxa"/>
              <w:left w:w="120" w:type="dxa"/>
              <w:right w:w="120" w:type="dxa"/>
            </w:tcMar>
          </w:tcPr>
          <w:p>
            <w:pPr>
              <w:jc w:val="left"/>
            </w:pPr>
            <w:r/>
            <w:r>
              <w:rPr>
                <w:rFonts w:ascii="Arial" w:hAnsi="Arial" w:eastAsia="Arial" w:cs="Arial"/>
                <w:b w:val="0"/>
                <w:i w:val="0"/>
                <w:sz w:val="20"/>
              </w:rPr>
              <w:t>Bonus structure changes require HR/Legal review; may take 2 quarters to show effect.</w:t>
            </w:r>
          </w:p>
        </w:tc>
      </w:tr>
      <w:tr>
        <w:tc>
          <w:tcPr>
            <w:tcW w:type="dxa" w:w="1984"/>
            <w:tcMar>
              <w:top w:w="80" w:type="dxa"/>
              <w:bottom w:w="80" w:type="dxa"/>
              <w:left w:w="120" w:type="dxa"/>
              <w:right w:w="120" w:type="dxa"/>
            </w:tcMar>
            <w:shd w:val="clear" w:color="auto" w:fill="F2F2F2"/>
          </w:tcPr>
          <w:p>
            <w:pPr>
              <w:jc w:val="left"/>
            </w:pPr>
            <w:r/>
            <w:r>
              <w:rPr>
                <w:rFonts w:ascii="Arial" w:hAnsi="Arial" w:eastAsia="Arial" w:cs="Arial"/>
                <w:b w:val="0"/>
                <w:i w:val="0"/>
                <w:sz w:val="20"/>
              </w:rPr>
              <w:t>Validation</w:t>
            </w:r>
          </w:p>
        </w:tc>
        <w:tc>
          <w:tcPr>
            <w:tcW w:type="dxa" w:w="7370"/>
            <w:tcMar>
              <w:top w:w="80" w:type="dxa"/>
              <w:bottom w:w="80" w:type="dxa"/>
              <w:left w:w="120" w:type="dxa"/>
              <w:right w:w="120" w:type="dxa"/>
            </w:tcMar>
            <w:shd w:val="clear" w:color="auto" w:fill="F2F2F2"/>
          </w:tcPr>
          <w:p>
            <w:pPr>
              <w:jc w:val="left"/>
            </w:pPr>
            <w:r/>
            <w:r>
              <w:rPr>
                <w:rFonts w:ascii="Arial" w:hAnsi="Arial" w:eastAsia="Arial" w:cs="Arial"/>
                <w:b w:val="0"/>
                <w:i w:val="0"/>
                <w:sz w:val="20"/>
              </w:rPr>
              <w:t>Track preventable incident count and $ quarter-over-quarter; benchmark against industry CSA scores.</w:t>
            </w:r>
          </w:p>
        </w:tc>
      </w:tr>
    </w:tbl>
    <w:p>
      <w:pPr>
        <w:spacing w:after="80"/>
      </w:pPr>
    </w:p>
    <w:p>
      <w:pPr>
        <w:pStyle w:val="Heading3"/>
        <w:keepNext/>
        <w:spacing w:before="160" w:after="120"/>
      </w:pPr>
      <w:r>
        <w:rPr>
          <w:rFonts w:ascii="Arial" w:hAnsi="Arial" w:eastAsia="Arial" w:cs="Arial"/>
          <w:b/>
          <w:i w:val="0"/>
          <w:color w:val="2E5A88"/>
          <w:sz w:val="23"/>
        </w:rPr>
        <w:t>R4. Investigate Refrigerated vs Dry Van MPG gap  (Priority: MEDIUM)</w:t>
      </w:r>
    </w:p>
    <w:tbl>
      <w:tblPr>
        <w:tblStyle w:val="TableGrid"/>
        <w:tblW w:type="auto" w:w="0"/>
        <w:jc w:val="center"/>
        <w:tblLayout w:type="autofit"/>
        <w:tblLook w:firstColumn="1" w:firstRow="1" w:lastColumn="0" w:lastRow="0" w:noHBand="0" w:noVBand="1" w:val="04A0"/>
      </w:tblPr>
      <w:tblGrid>
        <w:gridCol w:w="4819"/>
        <w:gridCol w:w="4819"/>
      </w:tblGrid>
      <w:tr>
        <w:tc>
          <w:tcPr>
            <w:tcW w:type="dxa" w:w="1984"/>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Dimension</w:t>
            </w:r>
          </w:p>
        </w:tc>
        <w:tc>
          <w:tcPr>
            <w:tcW w:type="dxa" w:w="7370"/>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Detail</w:t>
            </w:r>
          </w:p>
        </w:tc>
      </w:tr>
      <w:tr>
        <w:tc>
          <w:tcPr>
            <w:tcW w:type="dxa" w:w="1984"/>
            <w:tcMar>
              <w:top w:w="80" w:type="dxa"/>
              <w:bottom w:w="80" w:type="dxa"/>
              <w:left w:w="120" w:type="dxa"/>
              <w:right w:w="120" w:type="dxa"/>
            </w:tcMar>
          </w:tcPr>
          <w:p>
            <w:pPr>
              <w:jc w:val="left"/>
            </w:pPr>
            <w:r/>
            <w:r>
              <w:rPr>
                <w:rFonts w:ascii="Arial" w:hAnsi="Arial" w:eastAsia="Arial" w:cs="Arial"/>
                <w:b w:val="0"/>
                <w:i w:val="0"/>
                <w:sz w:val="20"/>
              </w:rPr>
              <w:t>Impact</w:t>
            </w:r>
          </w:p>
        </w:tc>
        <w:tc>
          <w:tcPr>
            <w:tcW w:type="dxa" w:w="7370"/>
            <w:tcMar>
              <w:top w:w="80" w:type="dxa"/>
              <w:bottom w:w="80" w:type="dxa"/>
              <w:left w:w="120" w:type="dxa"/>
              <w:right w:w="120" w:type="dxa"/>
            </w:tcMar>
          </w:tcPr>
          <w:p>
            <w:pPr>
              <w:jc w:val="left"/>
            </w:pPr>
            <w:r/>
            <w:r>
              <w:rPr>
                <w:rFonts w:ascii="Arial" w:hAnsi="Arial" w:eastAsia="Arial" w:cs="Arial"/>
                <w:b w:val="0"/>
                <w:i w:val="0"/>
                <w:sz w:val="20"/>
              </w:rPr>
              <w:t>Refrigerated units average 6.499 MPG vs 6.505 MPG for Dry Van — reefer fuel burn is a known driver but the gap should be quantified and trended.</w:t>
            </w:r>
          </w:p>
        </w:tc>
      </w:tr>
      <w:tr>
        <w:tc>
          <w:tcPr>
            <w:tcW w:type="dxa" w:w="1984"/>
            <w:tcMar>
              <w:top w:w="80" w:type="dxa"/>
              <w:bottom w:w="80" w:type="dxa"/>
              <w:left w:w="120" w:type="dxa"/>
              <w:right w:w="120" w:type="dxa"/>
            </w:tcMar>
            <w:shd w:val="clear" w:color="auto" w:fill="F2F2F2"/>
          </w:tcPr>
          <w:p>
            <w:pPr>
              <w:jc w:val="left"/>
            </w:pPr>
            <w:r/>
            <w:r>
              <w:rPr>
                <w:rFonts w:ascii="Arial" w:hAnsi="Arial" w:eastAsia="Arial" w:cs="Arial"/>
                <w:b w:val="0"/>
                <w:i w:val="0"/>
                <w:sz w:val="20"/>
              </w:rPr>
              <w:t>Action</w:t>
            </w:r>
          </w:p>
        </w:tc>
        <w:tc>
          <w:tcPr>
            <w:tcW w:type="dxa" w:w="7370"/>
            <w:tcMar>
              <w:top w:w="80" w:type="dxa"/>
              <w:bottom w:w="80" w:type="dxa"/>
              <w:left w:w="120" w:type="dxa"/>
              <w:right w:w="120" w:type="dxa"/>
            </w:tcMar>
            <w:shd w:val="clear" w:color="auto" w:fill="F2F2F2"/>
          </w:tcPr>
          <w:p>
            <w:pPr>
              <w:jc w:val="left"/>
            </w:pPr>
            <w:r/>
            <w:r>
              <w:rPr>
                <w:rFonts w:ascii="Arial" w:hAnsi="Arial" w:eastAsia="Arial" w:cs="Arial"/>
                <w:b w:val="0"/>
                <w:i w:val="0"/>
                <w:sz w:val="20"/>
              </w:rPr>
              <w:t>Separate reefer fuel from tractor fuel in reporting; set type-specific MPG targets; pilot auxiliary-electric reefer units on 5 highest-mileage reefer trailers.</w:t>
            </w:r>
          </w:p>
        </w:tc>
      </w:tr>
      <w:tr>
        <w:tc>
          <w:tcPr>
            <w:tcW w:type="dxa" w:w="1984"/>
            <w:tcMar>
              <w:top w:w="80" w:type="dxa"/>
              <w:bottom w:w="80" w:type="dxa"/>
              <w:left w:w="120" w:type="dxa"/>
              <w:right w:w="120" w:type="dxa"/>
            </w:tcMar>
          </w:tcPr>
          <w:p>
            <w:pPr>
              <w:jc w:val="left"/>
            </w:pPr>
            <w:r/>
            <w:r>
              <w:rPr>
                <w:rFonts w:ascii="Arial" w:hAnsi="Arial" w:eastAsia="Arial" w:cs="Arial"/>
                <w:b w:val="0"/>
                <w:i w:val="0"/>
                <w:sz w:val="20"/>
              </w:rPr>
              <w:t>Risks</w:t>
            </w:r>
          </w:p>
        </w:tc>
        <w:tc>
          <w:tcPr>
            <w:tcW w:type="dxa" w:w="7370"/>
            <w:tcMar>
              <w:top w:w="80" w:type="dxa"/>
              <w:bottom w:w="80" w:type="dxa"/>
              <w:left w:w="120" w:type="dxa"/>
              <w:right w:w="120" w:type="dxa"/>
            </w:tcMar>
          </w:tcPr>
          <w:p>
            <w:pPr>
              <w:jc w:val="left"/>
            </w:pPr>
            <w:r/>
            <w:r>
              <w:rPr>
                <w:rFonts w:ascii="Arial" w:hAnsi="Arial" w:eastAsia="Arial" w:cs="Arial"/>
                <w:b w:val="0"/>
                <w:i w:val="0"/>
                <w:sz w:val="20"/>
              </w:rPr>
              <w:t>Capital cost of pilot (~$50k); technology maturity risk. Start with a 90-day pilot.</w:t>
            </w:r>
          </w:p>
        </w:tc>
      </w:tr>
      <w:tr>
        <w:tc>
          <w:tcPr>
            <w:tcW w:type="dxa" w:w="1984"/>
            <w:tcMar>
              <w:top w:w="80" w:type="dxa"/>
              <w:bottom w:w="80" w:type="dxa"/>
              <w:left w:w="120" w:type="dxa"/>
              <w:right w:w="120" w:type="dxa"/>
            </w:tcMar>
            <w:shd w:val="clear" w:color="auto" w:fill="F2F2F2"/>
          </w:tcPr>
          <w:p>
            <w:pPr>
              <w:jc w:val="left"/>
            </w:pPr>
            <w:r/>
            <w:r>
              <w:rPr>
                <w:rFonts w:ascii="Arial" w:hAnsi="Arial" w:eastAsia="Arial" w:cs="Arial"/>
                <w:b w:val="0"/>
                <w:i w:val="0"/>
                <w:sz w:val="20"/>
              </w:rPr>
              <w:t>Validation</w:t>
            </w:r>
          </w:p>
        </w:tc>
        <w:tc>
          <w:tcPr>
            <w:tcW w:type="dxa" w:w="7370"/>
            <w:tcMar>
              <w:top w:w="80" w:type="dxa"/>
              <w:bottom w:w="80" w:type="dxa"/>
              <w:left w:w="120" w:type="dxa"/>
              <w:right w:w="120" w:type="dxa"/>
            </w:tcMar>
            <w:shd w:val="clear" w:color="auto" w:fill="F2F2F2"/>
          </w:tcPr>
          <w:p>
            <w:pPr>
              <w:jc w:val="left"/>
            </w:pPr>
            <w:r/>
            <w:r>
              <w:rPr>
                <w:rFonts w:ascii="Arial" w:hAnsi="Arial" w:eastAsia="Arial" w:cs="Arial"/>
                <w:b w:val="0"/>
                <w:i w:val="0"/>
                <w:sz w:val="20"/>
              </w:rPr>
              <w:t>Compare pilot MPG vs. control group over same routes; ROI gate before fleet rollout.</w:t>
            </w:r>
          </w:p>
        </w:tc>
      </w:tr>
    </w:tbl>
    <w:p>
      <w:pPr>
        <w:spacing w:after="80"/>
      </w:pPr>
    </w:p>
    <w:p>
      <w:pPr>
        <w:pStyle w:val="Heading3"/>
        <w:keepNext/>
        <w:spacing w:before="160" w:after="120"/>
      </w:pPr>
      <w:r>
        <w:rPr>
          <w:rFonts w:ascii="Arial" w:hAnsi="Arial" w:eastAsia="Arial" w:cs="Arial"/>
          <w:b/>
          <w:i w:val="0"/>
          <w:color w:val="2E5A88"/>
          <w:sz w:val="23"/>
        </w:rPr>
        <w:t>R5. Address rising idle time  (Priority: LOW)</w:t>
      </w:r>
    </w:p>
    <w:tbl>
      <w:tblPr>
        <w:tblStyle w:val="TableGrid"/>
        <w:tblW w:type="auto" w:w="0"/>
        <w:jc w:val="center"/>
        <w:tblLayout w:type="autofit"/>
        <w:tblLook w:firstColumn="1" w:firstRow="1" w:lastColumn="0" w:lastRow="0" w:noHBand="0" w:noVBand="1" w:val="04A0"/>
      </w:tblPr>
      <w:tblGrid>
        <w:gridCol w:w="4819"/>
        <w:gridCol w:w="4819"/>
      </w:tblGrid>
      <w:tr>
        <w:tc>
          <w:tcPr>
            <w:tcW w:type="dxa" w:w="1984"/>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Dimension</w:t>
            </w:r>
          </w:p>
        </w:tc>
        <w:tc>
          <w:tcPr>
            <w:tcW w:type="dxa" w:w="7370"/>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Detail</w:t>
            </w:r>
          </w:p>
        </w:tc>
      </w:tr>
      <w:tr>
        <w:tc>
          <w:tcPr>
            <w:tcW w:type="dxa" w:w="1984"/>
            <w:tcMar>
              <w:top w:w="80" w:type="dxa"/>
              <w:bottom w:w="80" w:type="dxa"/>
              <w:left w:w="120" w:type="dxa"/>
              <w:right w:w="120" w:type="dxa"/>
            </w:tcMar>
          </w:tcPr>
          <w:p>
            <w:pPr>
              <w:jc w:val="left"/>
            </w:pPr>
            <w:r/>
            <w:r>
              <w:rPr>
                <w:rFonts w:ascii="Arial" w:hAnsi="Arial" w:eastAsia="Arial" w:cs="Arial"/>
                <w:b w:val="0"/>
                <w:i w:val="0"/>
                <w:sz w:val="20"/>
              </w:rPr>
              <w:t>Impact</w:t>
            </w:r>
          </w:p>
        </w:tc>
        <w:tc>
          <w:tcPr>
            <w:tcW w:type="dxa" w:w="7370"/>
            <w:tcMar>
              <w:top w:w="80" w:type="dxa"/>
              <w:bottom w:w="80" w:type="dxa"/>
              <w:left w:w="120" w:type="dxa"/>
              <w:right w:w="120" w:type="dxa"/>
            </w:tcMar>
          </w:tcPr>
          <w:p>
            <w:pPr>
              <w:jc w:val="left"/>
            </w:pPr>
            <w:r/>
            <w:r>
              <w:rPr>
                <w:rFonts w:ascii="Arial" w:hAnsi="Arial" w:eastAsia="Arial" w:cs="Arial"/>
                <w:b w:val="0"/>
                <w:i w:val="0"/>
                <w:sz w:val="20"/>
              </w:rPr>
              <w:t>Average idle time is 7.01 hours/trip; even a 0.5 h reduction across 85,410 trips would save ~42,705 idle hours/year of fuel and wear.</w:t>
            </w:r>
          </w:p>
        </w:tc>
      </w:tr>
      <w:tr>
        <w:tc>
          <w:tcPr>
            <w:tcW w:type="dxa" w:w="1984"/>
            <w:tcMar>
              <w:top w:w="80" w:type="dxa"/>
              <w:bottom w:w="80" w:type="dxa"/>
              <w:left w:w="120" w:type="dxa"/>
              <w:right w:w="120" w:type="dxa"/>
            </w:tcMar>
            <w:shd w:val="clear" w:color="auto" w:fill="F2F2F2"/>
          </w:tcPr>
          <w:p>
            <w:pPr>
              <w:jc w:val="left"/>
            </w:pPr>
            <w:r/>
            <w:r>
              <w:rPr>
                <w:rFonts w:ascii="Arial" w:hAnsi="Arial" w:eastAsia="Arial" w:cs="Arial"/>
                <w:b w:val="0"/>
                <w:i w:val="0"/>
                <w:sz w:val="20"/>
              </w:rPr>
              <w:t>Action</w:t>
            </w:r>
          </w:p>
        </w:tc>
        <w:tc>
          <w:tcPr>
            <w:tcW w:type="dxa" w:w="7370"/>
            <w:tcMar>
              <w:top w:w="80" w:type="dxa"/>
              <w:bottom w:w="80" w:type="dxa"/>
              <w:left w:w="120" w:type="dxa"/>
              <w:right w:w="120" w:type="dxa"/>
            </w:tcMar>
            <w:shd w:val="clear" w:color="auto" w:fill="F2F2F2"/>
          </w:tcPr>
          <w:p>
            <w:pPr>
              <w:jc w:val="left"/>
            </w:pPr>
            <w:r/>
            <w:r>
              <w:rPr>
                <w:rFonts w:ascii="Arial" w:hAnsi="Arial" w:eastAsia="Arial" w:cs="Arial"/>
                <w:b w:val="0"/>
                <w:i w:val="0"/>
                <w:sz w:val="20"/>
              </w:rPr>
              <w:t>Install anti-idle governors or driver dashboard coaching; set route-level idle targets; reward lowest-idle drivers quarterly.</w:t>
            </w:r>
          </w:p>
        </w:tc>
      </w:tr>
      <w:tr>
        <w:tc>
          <w:tcPr>
            <w:tcW w:type="dxa" w:w="1984"/>
            <w:tcMar>
              <w:top w:w="80" w:type="dxa"/>
              <w:bottom w:w="80" w:type="dxa"/>
              <w:left w:w="120" w:type="dxa"/>
              <w:right w:w="120" w:type="dxa"/>
            </w:tcMar>
          </w:tcPr>
          <w:p>
            <w:pPr>
              <w:jc w:val="left"/>
            </w:pPr>
            <w:r/>
            <w:r>
              <w:rPr>
                <w:rFonts w:ascii="Arial" w:hAnsi="Arial" w:eastAsia="Arial" w:cs="Arial"/>
                <w:b w:val="0"/>
                <w:i w:val="0"/>
                <w:sz w:val="20"/>
              </w:rPr>
              <w:t>Risks</w:t>
            </w:r>
          </w:p>
        </w:tc>
        <w:tc>
          <w:tcPr>
            <w:tcW w:type="dxa" w:w="7370"/>
            <w:tcMar>
              <w:top w:w="80" w:type="dxa"/>
              <w:bottom w:w="80" w:type="dxa"/>
              <w:left w:w="120" w:type="dxa"/>
              <w:right w:w="120" w:type="dxa"/>
            </w:tcMar>
          </w:tcPr>
          <w:p>
            <w:pPr>
              <w:jc w:val="left"/>
            </w:pPr>
            <w:r/>
            <w:r>
              <w:rPr>
                <w:rFonts w:ascii="Arial" w:hAnsi="Arial" w:eastAsia="Arial" w:cs="Arial"/>
                <w:b w:val="0"/>
                <w:i w:val="0"/>
                <w:sz w:val="20"/>
              </w:rPr>
              <w:t>Driver comfort in extreme weather; ensure compliance with DOT rest rules. Use opt-in cab comfort tech.</w:t>
            </w:r>
          </w:p>
        </w:tc>
      </w:tr>
      <w:tr>
        <w:tc>
          <w:tcPr>
            <w:tcW w:type="dxa" w:w="1984"/>
            <w:tcMar>
              <w:top w:w="80" w:type="dxa"/>
              <w:bottom w:w="80" w:type="dxa"/>
              <w:left w:w="120" w:type="dxa"/>
              <w:right w:w="120" w:type="dxa"/>
            </w:tcMar>
            <w:shd w:val="clear" w:color="auto" w:fill="F2F2F2"/>
          </w:tcPr>
          <w:p>
            <w:pPr>
              <w:jc w:val="left"/>
            </w:pPr>
            <w:r/>
            <w:r>
              <w:rPr>
                <w:rFonts w:ascii="Arial" w:hAnsi="Arial" w:eastAsia="Arial" w:cs="Arial"/>
                <w:b w:val="0"/>
                <w:i w:val="0"/>
                <w:sz w:val="20"/>
              </w:rPr>
              <w:t>Validation</w:t>
            </w:r>
          </w:p>
        </w:tc>
        <w:tc>
          <w:tcPr>
            <w:tcW w:type="dxa" w:w="7370"/>
            <w:tcMar>
              <w:top w:w="80" w:type="dxa"/>
              <w:bottom w:w="80" w:type="dxa"/>
              <w:left w:w="120" w:type="dxa"/>
              <w:right w:w="120" w:type="dxa"/>
            </w:tcMar>
            <w:shd w:val="clear" w:color="auto" w:fill="F2F2F2"/>
          </w:tcPr>
          <w:p>
            <w:pPr>
              <w:jc w:val="left"/>
            </w:pPr>
            <w:r/>
            <w:r>
              <w:rPr>
                <w:rFonts w:ascii="Arial" w:hAnsi="Arial" w:eastAsia="Arial" w:cs="Arial"/>
                <w:b w:val="0"/>
                <w:i w:val="0"/>
                <w:sz w:val="20"/>
              </w:rPr>
              <w:t>Month-over-month idle-hours-per-trip trend by driver cohort.</w:t>
            </w:r>
          </w:p>
        </w:tc>
      </w:tr>
    </w:tbl>
    <w:p>
      <w:pPr>
        <w:spacing w:after="80"/>
      </w:pPr>
    </w:p>
    <w:p>
      <w:pPr>
        <w:pStyle w:val="Heading1"/>
        <w:keepNext/>
        <w:spacing w:before="280" w:after="120"/>
      </w:pPr>
      <w:r>
        <w:rPr>
          <w:rFonts w:ascii="Arial" w:hAnsi="Arial" w:eastAsia="Arial" w:cs="Arial"/>
          <w:b/>
          <w:i w:val="0"/>
          <w:color w:val="2E5A88"/>
          <w:sz w:val="32"/>
        </w:rPr>
        <w:t>8. Uncertainty Statement &amp; Limitations</w:t>
      </w:r>
    </w:p>
    <w:p>
      <w:pPr>
        <w:spacing w:after="120" w:before="0" w:line="312" w:lineRule="auto"/>
        <w:ind w:firstLine="0"/>
      </w:pPr>
      <w:r>
        <w:rPr>
          <w:rFonts w:ascii="Arial" w:hAnsi="Arial" w:eastAsia="Arial" w:cs="Arial"/>
          <w:b w:val="0"/>
          <w:i w:val="0"/>
          <w:sz w:val="22"/>
        </w:rPr>
        <w:t>Every analysis carries uncertainty, and responsible use of this report requires understanding what the data can and cannot support. The limitations below should be weighed when interpreting the findings, and the validation steps should guide next-round analysis.</w:t>
      </w:r>
    </w:p>
    <w:p>
      <w:pPr>
        <w:pStyle w:val="Heading2"/>
        <w:keepNext/>
        <w:spacing w:before="200" w:after="120"/>
      </w:pPr>
      <w:r>
        <w:rPr>
          <w:rFonts w:ascii="Arial" w:hAnsi="Arial" w:eastAsia="Arial" w:cs="Arial"/>
          <w:b/>
          <w:i w:val="0"/>
          <w:color w:val="2E5A88"/>
          <w:sz w:val="26"/>
        </w:rPr>
        <w:t>Limitations</w:t>
      </w:r>
    </w:p>
    <w:p>
      <w:pPr>
        <w:pStyle w:val="ListBullet"/>
        <w:spacing w:line="312" w:lineRule="auto"/>
      </w:pPr>
      <w:r>
        <w:rPr>
          <w:rFonts w:ascii="Arial" w:hAnsi="Arial" w:eastAsia="Arial" w:cs="Arial"/>
          <w:b w:val="0"/>
          <w:i w:val="0"/>
          <w:sz w:val="22"/>
        </w:rPr>
        <w:t>No driver master table is available — driver_id appears in trips and incidents but driver demographics, tenure, and training history cannot be joined. Driver-level safety attribution is therefore limited.</w:t>
      </w:r>
    </w:p>
    <w:p>
      <w:pPr>
        <w:pStyle w:val="ListBullet"/>
        <w:spacing w:line="312" w:lineRule="auto"/>
      </w:pPr>
      <w:r>
        <w:rPr>
          <w:rFonts w:ascii="Arial" w:hAnsi="Arial" w:eastAsia="Arial" w:cs="Arial"/>
          <w:b w:val="0"/>
          <w:i w:val="0"/>
          <w:sz w:val="22"/>
        </w:rPr>
        <w:t>No truck/tractor master table is available — vehicle age, maintenance history, and spec (engine, transmission) cannot be linked to MPG or incident outcomes.</w:t>
      </w:r>
    </w:p>
    <w:p>
      <w:pPr>
        <w:pStyle w:val="ListBullet"/>
        <w:spacing w:line="312" w:lineRule="auto"/>
      </w:pPr>
      <w:r>
        <w:rPr>
          <w:rFonts w:ascii="Arial" w:hAnsi="Arial" w:eastAsia="Arial" w:cs="Arial"/>
          <w:b w:val="0"/>
          <w:i w:val="0"/>
          <w:sz w:val="22"/>
        </w:rPr>
        <w:t>No revenue or load-rate data is present in the trips table; financial performance (revenue per mile, margin) cannot be computed. The existing analysis_results.json in /upload references monthly_revenue but that source is not in the current CSVs.</w:t>
      </w:r>
    </w:p>
    <w:p>
      <w:pPr>
        <w:pStyle w:val="ListBullet"/>
        <w:spacing w:line="312" w:lineRule="auto"/>
      </w:pPr>
      <w:r>
        <w:rPr>
          <w:rFonts w:ascii="Arial" w:hAnsi="Arial" w:eastAsia="Arial" w:cs="Arial"/>
          <w:b w:val="0"/>
          <w:i w:val="0"/>
          <w:sz w:val="22"/>
        </w:rPr>
        <w:t>Incident cost data is self-reported claim_amount; actual settled amounts may differ and long-tail claims (especially injuries) may be under-reserved at this snapshot.</w:t>
      </w:r>
    </w:p>
    <w:p>
      <w:pPr>
        <w:pStyle w:val="ListBullet"/>
        <w:spacing w:line="312" w:lineRule="auto"/>
      </w:pPr>
      <w:r>
        <w:rPr>
          <w:rFonts w:ascii="Arial" w:hAnsi="Arial" w:eastAsia="Arial" w:cs="Arial"/>
          <w:b w:val="0"/>
          <w:i w:val="0"/>
          <w:sz w:val="22"/>
        </w:rPr>
        <w:t>The 1,680 blank-trailer-id rows bias trailer-utilization metrics slightly downward; conclusions about trailer-level performance should be considered indicative, not precise.</w:t>
      </w:r>
    </w:p>
    <w:p>
      <w:pPr>
        <w:pStyle w:val="Heading2"/>
        <w:keepNext/>
        <w:spacing w:before="200" w:after="120"/>
      </w:pPr>
      <w:r>
        <w:rPr>
          <w:rFonts w:ascii="Arial" w:hAnsi="Arial" w:eastAsia="Arial" w:cs="Arial"/>
          <w:b/>
          <w:i w:val="0"/>
          <w:color w:val="2E5A88"/>
          <w:sz w:val="26"/>
        </w:rPr>
        <w:t>Potential Biases</w:t>
      </w:r>
    </w:p>
    <w:p>
      <w:pPr>
        <w:pStyle w:val="ListBullet"/>
        <w:spacing w:line="312" w:lineRule="auto"/>
      </w:pPr>
      <w:r>
        <w:rPr>
          <w:rFonts w:ascii="Arial" w:hAnsi="Arial" w:eastAsia="Arial" w:cs="Arial"/>
          <w:b w:val="0"/>
          <w:i w:val="0"/>
          <w:sz w:val="22"/>
        </w:rPr>
        <w:t>Incident underreporting: minor incidents without claims may not be captured, biasing incident rate downward.</w:t>
      </w:r>
    </w:p>
    <w:p>
      <w:pPr>
        <w:pStyle w:val="ListBullet"/>
        <w:spacing w:line="312" w:lineRule="auto"/>
      </w:pPr>
      <w:r>
        <w:rPr>
          <w:rFonts w:ascii="Arial" w:hAnsi="Arial" w:eastAsia="Arial" w:cs="Arial"/>
          <w:b w:val="0"/>
          <w:i w:val="0"/>
          <w:sz w:val="22"/>
        </w:rPr>
        <w:t>Survivorship: only 'Completed' trips appear in the dataset; cancelled or in-progress trips are excluded, which may flatter on-time/performance metrics.</w:t>
      </w:r>
    </w:p>
    <w:p>
      <w:pPr>
        <w:pStyle w:val="Heading2"/>
        <w:keepNext/>
        <w:spacing w:before="200" w:after="120"/>
      </w:pPr>
      <w:r>
        <w:rPr>
          <w:rFonts w:ascii="Arial" w:hAnsi="Arial" w:eastAsia="Arial" w:cs="Arial"/>
          <w:b/>
          <w:i w:val="0"/>
          <w:color w:val="2E5A88"/>
          <w:sz w:val="26"/>
        </w:rPr>
        <w:t>Recommended Next Validation Steps</w:t>
      </w:r>
    </w:p>
    <w:p>
      <w:pPr>
        <w:pStyle w:val="ListBullet"/>
        <w:spacing w:line="312" w:lineRule="auto"/>
      </w:pPr>
      <w:r>
        <w:rPr>
          <w:rFonts w:ascii="Arial" w:hAnsi="Arial" w:eastAsia="Arial" w:cs="Arial"/>
          <w:b w:val="0"/>
          <w:i w:val="0"/>
          <w:sz w:val="22"/>
        </w:rPr>
        <w:t>Integrate HRIS driver table to enable driver-level safety scoring and tenure analysis.</w:t>
      </w:r>
    </w:p>
    <w:p>
      <w:pPr>
        <w:pStyle w:val="ListBullet"/>
        <w:spacing w:line="312" w:lineRule="auto"/>
      </w:pPr>
      <w:r>
        <w:rPr>
          <w:rFonts w:ascii="Arial" w:hAnsi="Arial" w:eastAsia="Arial" w:cs="Arial"/>
          <w:b w:val="0"/>
          <w:i w:val="0"/>
          <w:sz w:val="22"/>
        </w:rPr>
        <w:t>Integrate TMS load/revenue data to compute revenue-per-mile and margin-per-trip.</w:t>
      </w:r>
    </w:p>
    <w:p>
      <w:pPr>
        <w:pStyle w:val="ListBullet"/>
        <w:spacing w:line="312" w:lineRule="auto"/>
      </w:pPr>
      <w:r>
        <w:rPr>
          <w:rFonts w:ascii="Arial" w:hAnsi="Arial" w:eastAsia="Arial" w:cs="Arial"/>
          <w:b w:val="0"/>
          <w:i w:val="0"/>
          <w:sz w:val="22"/>
        </w:rPr>
        <w:t>Reconcile claim_amount against insurance settlement records on a 6-month lag.</w:t>
      </w:r>
    </w:p>
    <w:p>
      <w:pPr>
        <w:pStyle w:val="ListBullet"/>
        <w:spacing w:line="312" w:lineRule="auto"/>
      </w:pPr>
      <w:r>
        <w:rPr>
          <w:rFonts w:ascii="Arial" w:hAnsi="Arial" w:eastAsia="Arial" w:cs="Arial"/>
          <w:b w:val="0"/>
          <w:i w:val="0"/>
          <w:sz w:val="22"/>
        </w:rPr>
        <w:t>Repeat this analysis quarterly to detect trend inflection points earlier.</w:t>
      </w:r>
    </w:p>
    <w:p>
      <w:pPr>
        <w:pStyle w:val="Heading1"/>
        <w:keepNext/>
        <w:spacing w:before="280" w:after="120"/>
      </w:pPr>
      <w:r>
        <w:rPr>
          <w:rFonts w:ascii="Arial" w:hAnsi="Arial" w:eastAsia="Arial" w:cs="Arial"/>
          <w:b/>
          <w:i w:val="0"/>
          <w:color w:val="2E5A88"/>
          <w:sz w:val="32"/>
        </w:rPr>
        <w:t>9. Appendix</w:t>
      </w:r>
    </w:p>
    <w:p>
      <w:pPr>
        <w:pStyle w:val="Heading2"/>
        <w:keepNext/>
        <w:spacing w:before="200" w:after="120"/>
      </w:pPr>
      <w:r>
        <w:rPr>
          <w:rFonts w:ascii="Arial" w:hAnsi="Arial" w:eastAsia="Arial" w:cs="Arial"/>
          <w:b/>
          <w:i w:val="0"/>
          <w:color w:val="2E5A88"/>
          <w:sz w:val="26"/>
        </w:rPr>
        <w:t>A. Database Schema</w:t>
      </w:r>
    </w:p>
    <w:p>
      <w:pPr>
        <w:spacing w:after="120" w:before="0" w:line="312" w:lineRule="auto"/>
        <w:ind w:firstLine="0"/>
      </w:pPr>
      <w:r>
        <w:rPr>
          <w:rFonts w:ascii="Arial" w:hAnsi="Arial" w:eastAsia="Arial" w:cs="Arial"/>
          <w:b w:val="0"/>
          <w:i w:val="0"/>
          <w:sz w:val="22"/>
        </w:rPr>
        <w:t>The logistics database is stored as a SQLite file at /home/z/my-project/download/logistics.db (18.59 MB). The full DDL is available in /home/z/my-project/download/logistics_schema.sql. The three tables and their key columns are summarized below.</w:t>
      </w:r>
    </w:p>
    <w:p>
      <w:pPr>
        <w:spacing w:after="80" w:before="160"/>
        <w:jc w:val="center"/>
      </w:pPr>
      <w:r>
        <w:rPr>
          <w:rFonts w:ascii="Arial" w:hAnsi="Arial" w:eastAsia="Arial" w:cs="Arial"/>
          <w:b w:val="0"/>
          <w:i/>
          <w:color w:val="555555"/>
          <w:sz w:val="19"/>
        </w:rPr>
        <w:t>Table A-1: Database schema summary.</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Table</w:t>
            </w:r>
          </w:p>
        </w:tc>
        <w:tc>
          <w:tcPr>
            <w:tcW w:type="dxa" w:w="1928"/>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Primary Key</w:t>
            </w:r>
          </w:p>
        </w:tc>
        <w:tc>
          <w:tcPr>
            <w:tcW w:type="dxa" w:w="1928"/>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Key Foreign Key</w:t>
            </w:r>
          </w:p>
        </w:tc>
        <w:tc>
          <w:tcPr>
            <w:tcW w:type="dxa" w:w="1928"/>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Rows</w:t>
            </w:r>
          </w:p>
        </w:tc>
        <w:tc>
          <w:tcPr>
            <w:tcW w:type="dxa" w:w="1928"/>
            <w:shd w:val="clear" w:color="auto" w:fill="2E5A88"/>
            <w:tcMar>
              <w:top w:w="80" w:type="dxa"/>
              <w:bottom w:w="80" w:type="dxa"/>
              <w:left w:w="120" w:type="dxa"/>
              <w:right w:w="120" w:type="dxa"/>
            </w:tcMar>
          </w:tcPr>
          <w:p>
            <w:pPr>
              <w:jc w:val="center"/>
            </w:pPr>
            <w:r/>
            <w:r>
              <w:rPr>
                <w:rFonts w:ascii="Arial" w:hAnsi="Arial" w:eastAsia="Arial" w:cs="Arial"/>
                <w:b/>
                <w:i w:val="0"/>
                <w:color w:val="FFFFFF"/>
                <w:sz w:val="20"/>
              </w:rPr>
              <w:t>Key Indexed Columns</w:t>
            </w:r>
          </w:p>
        </w:tc>
      </w:tr>
      <w:tr>
        <w:tc>
          <w:tcPr>
            <w:tcW w:type="dxa" w:w="1928"/>
            <w:tcMar>
              <w:top w:w="80" w:type="dxa"/>
              <w:bottom w:w="80" w:type="dxa"/>
              <w:left w:w="120" w:type="dxa"/>
              <w:right w:w="120" w:type="dxa"/>
            </w:tcMar>
          </w:tcPr>
          <w:p>
            <w:pPr>
              <w:jc w:val="left"/>
            </w:pPr>
            <w:r/>
            <w:r>
              <w:rPr>
                <w:rFonts w:ascii="Arial" w:hAnsi="Arial" w:eastAsia="Arial" w:cs="Arial"/>
                <w:b w:val="0"/>
                <w:i w:val="0"/>
                <w:sz w:val="20"/>
              </w:rPr>
              <w:t>trailers</w:t>
            </w:r>
          </w:p>
        </w:tc>
        <w:tc>
          <w:tcPr>
            <w:tcW w:type="dxa" w:w="1928"/>
            <w:tcMar>
              <w:top w:w="80" w:type="dxa"/>
              <w:bottom w:w="80" w:type="dxa"/>
              <w:left w:w="120" w:type="dxa"/>
              <w:right w:w="120" w:type="dxa"/>
            </w:tcMar>
          </w:tcPr>
          <w:p>
            <w:pPr>
              <w:jc w:val="left"/>
            </w:pPr>
            <w:r/>
            <w:r>
              <w:rPr>
                <w:rFonts w:ascii="Arial" w:hAnsi="Arial" w:eastAsia="Arial" w:cs="Arial"/>
                <w:b w:val="0"/>
                <w:i w:val="0"/>
                <w:sz w:val="20"/>
              </w:rPr>
              <w:t>trailer_id</w:t>
            </w:r>
          </w:p>
        </w:tc>
        <w:tc>
          <w:tcPr>
            <w:tcW w:type="dxa" w:w="1928"/>
            <w:tcMar>
              <w:top w:w="80" w:type="dxa"/>
              <w:bottom w:w="80" w:type="dxa"/>
              <w:left w:w="120" w:type="dxa"/>
              <w:right w:w="120" w:type="dxa"/>
            </w:tcMar>
          </w:tcPr>
          <w:p>
            <w:pPr>
              <w:jc w:val="left"/>
            </w:pPr>
            <w:r/>
            <w:r>
              <w:rPr>
                <w:rFonts w:ascii="Arial" w:hAnsi="Arial" w:eastAsia="Arial" w:cs="Arial"/>
                <w:b w:val="0"/>
                <w:i w:val="0"/>
                <w:sz w:val="20"/>
              </w:rPr>
              <w:t>—</w:t>
            </w:r>
          </w:p>
        </w:tc>
        <w:tc>
          <w:tcPr>
            <w:tcW w:type="dxa" w:w="1928"/>
            <w:tcMar>
              <w:top w:w="80" w:type="dxa"/>
              <w:bottom w:w="80" w:type="dxa"/>
              <w:left w:w="120" w:type="dxa"/>
              <w:right w:w="120" w:type="dxa"/>
            </w:tcMar>
          </w:tcPr>
          <w:p>
            <w:pPr>
              <w:jc w:val="left"/>
            </w:pPr>
            <w:r/>
            <w:r>
              <w:rPr>
                <w:rFonts w:ascii="Arial" w:hAnsi="Arial" w:eastAsia="Arial" w:cs="Arial"/>
                <w:b w:val="0"/>
                <w:i w:val="0"/>
                <w:sz w:val="20"/>
              </w:rPr>
              <w:t>180</w:t>
            </w:r>
          </w:p>
        </w:tc>
        <w:tc>
          <w:tcPr>
            <w:tcW w:type="dxa" w:w="1928"/>
            <w:tcMar>
              <w:top w:w="80" w:type="dxa"/>
              <w:bottom w:w="80" w:type="dxa"/>
              <w:left w:w="120" w:type="dxa"/>
              <w:right w:w="120" w:type="dxa"/>
            </w:tcMar>
          </w:tcPr>
          <w:p>
            <w:pPr>
              <w:jc w:val="left"/>
            </w:pPr>
            <w:r/>
            <w:r>
              <w:rPr>
                <w:rFonts w:ascii="Arial" w:hAnsi="Arial" w:eastAsia="Arial" w:cs="Arial"/>
                <w:b w:val="0"/>
                <w:i w:val="0"/>
                <w:sz w:val="20"/>
              </w:rPr>
              <w:t>trailer_id, trailer_type, status</w:t>
            </w:r>
          </w:p>
        </w:tc>
      </w:tr>
      <w:tr>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trips</w:t>
            </w:r>
          </w:p>
        </w:tc>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trip_id</w:t>
            </w:r>
          </w:p>
        </w:tc>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trailer_id → trailers.trailer_id</w:t>
            </w:r>
          </w:p>
        </w:tc>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85,410</w:t>
            </w:r>
          </w:p>
        </w:tc>
        <w:tc>
          <w:tcPr>
            <w:tcW w:type="dxa" w:w="1928"/>
            <w:tcMar>
              <w:top w:w="80" w:type="dxa"/>
              <w:bottom w:w="80" w:type="dxa"/>
              <w:left w:w="120" w:type="dxa"/>
              <w:right w:w="120" w:type="dxa"/>
            </w:tcMar>
            <w:shd w:val="clear" w:color="auto" w:fill="F2F2F2"/>
          </w:tcPr>
          <w:p>
            <w:pPr>
              <w:jc w:val="left"/>
            </w:pPr>
            <w:r/>
            <w:r>
              <w:rPr>
                <w:rFonts w:ascii="Arial" w:hAnsi="Arial" w:eastAsia="Arial" w:cs="Arial"/>
                <w:b w:val="0"/>
                <w:i w:val="0"/>
                <w:sz w:val="20"/>
              </w:rPr>
              <w:t>dispatch_date, driver_id, truck_id, trailer_id, trip_status</w:t>
            </w:r>
          </w:p>
        </w:tc>
      </w:tr>
      <w:tr>
        <w:tc>
          <w:tcPr>
            <w:tcW w:type="dxa" w:w="1928"/>
            <w:tcMar>
              <w:top w:w="80" w:type="dxa"/>
              <w:bottom w:w="80" w:type="dxa"/>
              <w:left w:w="120" w:type="dxa"/>
              <w:right w:w="120" w:type="dxa"/>
            </w:tcMar>
          </w:tcPr>
          <w:p>
            <w:pPr>
              <w:jc w:val="left"/>
            </w:pPr>
            <w:r/>
            <w:r>
              <w:rPr>
                <w:rFonts w:ascii="Arial" w:hAnsi="Arial" w:eastAsia="Arial" w:cs="Arial"/>
                <w:b w:val="0"/>
                <w:i w:val="0"/>
                <w:sz w:val="20"/>
              </w:rPr>
              <w:t>safety_incidents</w:t>
            </w:r>
          </w:p>
        </w:tc>
        <w:tc>
          <w:tcPr>
            <w:tcW w:type="dxa" w:w="1928"/>
            <w:tcMar>
              <w:top w:w="80" w:type="dxa"/>
              <w:bottom w:w="80" w:type="dxa"/>
              <w:left w:w="120" w:type="dxa"/>
              <w:right w:w="120" w:type="dxa"/>
            </w:tcMar>
          </w:tcPr>
          <w:p>
            <w:pPr>
              <w:jc w:val="left"/>
            </w:pPr>
            <w:r/>
            <w:r>
              <w:rPr>
                <w:rFonts w:ascii="Arial" w:hAnsi="Arial" w:eastAsia="Arial" w:cs="Arial"/>
                <w:b w:val="0"/>
                <w:i w:val="0"/>
                <w:sz w:val="20"/>
              </w:rPr>
              <w:t>incident_id</w:t>
            </w:r>
          </w:p>
        </w:tc>
        <w:tc>
          <w:tcPr>
            <w:tcW w:type="dxa" w:w="1928"/>
            <w:tcMar>
              <w:top w:w="80" w:type="dxa"/>
              <w:bottom w:w="80" w:type="dxa"/>
              <w:left w:w="120" w:type="dxa"/>
              <w:right w:w="120" w:type="dxa"/>
            </w:tcMar>
          </w:tcPr>
          <w:p>
            <w:pPr>
              <w:jc w:val="left"/>
            </w:pPr>
            <w:r/>
            <w:r>
              <w:rPr>
                <w:rFonts w:ascii="Arial" w:hAnsi="Arial" w:eastAsia="Arial" w:cs="Arial"/>
                <w:b w:val="0"/>
                <w:i w:val="0"/>
                <w:sz w:val="20"/>
              </w:rPr>
              <w:t>trip_id → trips.trip_id</w:t>
            </w:r>
          </w:p>
        </w:tc>
        <w:tc>
          <w:tcPr>
            <w:tcW w:type="dxa" w:w="1928"/>
            <w:tcMar>
              <w:top w:w="80" w:type="dxa"/>
              <w:bottom w:w="80" w:type="dxa"/>
              <w:left w:w="120" w:type="dxa"/>
              <w:right w:w="120" w:type="dxa"/>
            </w:tcMar>
          </w:tcPr>
          <w:p>
            <w:pPr>
              <w:jc w:val="left"/>
            </w:pPr>
            <w:r/>
            <w:r>
              <w:rPr>
                <w:rFonts w:ascii="Arial" w:hAnsi="Arial" w:eastAsia="Arial" w:cs="Arial"/>
                <w:b w:val="0"/>
                <w:i w:val="0"/>
                <w:sz w:val="20"/>
              </w:rPr>
              <w:t>170</w:t>
            </w:r>
          </w:p>
        </w:tc>
        <w:tc>
          <w:tcPr>
            <w:tcW w:type="dxa" w:w="1928"/>
            <w:tcMar>
              <w:top w:w="80" w:type="dxa"/>
              <w:bottom w:w="80" w:type="dxa"/>
              <w:left w:w="120" w:type="dxa"/>
              <w:right w:w="120" w:type="dxa"/>
            </w:tcMar>
          </w:tcPr>
          <w:p>
            <w:pPr>
              <w:jc w:val="left"/>
            </w:pPr>
            <w:r/>
            <w:r>
              <w:rPr>
                <w:rFonts w:ascii="Arial" w:hAnsi="Arial" w:eastAsia="Arial" w:cs="Arial"/>
                <w:b w:val="0"/>
                <w:i w:val="0"/>
                <w:sz w:val="20"/>
              </w:rPr>
              <w:t>incident_date, incident_type, driver_id, trip_id</w:t>
            </w:r>
          </w:p>
        </w:tc>
      </w:tr>
    </w:tbl>
    <w:p>
      <w:pPr>
        <w:spacing w:after="80"/>
      </w:pPr>
    </w:p>
    <w:p>
      <w:pPr>
        <w:pStyle w:val="Heading2"/>
        <w:keepNext/>
        <w:spacing w:before="200" w:after="120"/>
      </w:pPr>
      <w:r>
        <w:rPr>
          <w:rFonts w:ascii="Arial" w:hAnsi="Arial" w:eastAsia="Arial" w:cs="Arial"/>
          <w:b/>
          <w:i w:val="0"/>
          <w:color w:val="2E5A88"/>
          <w:sz w:val="26"/>
        </w:rPr>
        <w:t>B. Analysis Artifacts</w:t>
      </w:r>
    </w:p>
    <w:p>
      <w:pPr>
        <w:spacing w:after="120" w:before="0" w:line="312" w:lineRule="auto"/>
        <w:ind w:firstLine="0"/>
      </w:pPr>
      <w:r>
        <w:rPr>
          <w:rFonts w:ascii="Arial" w:hAnsi="Arial" w:eastAsia="Arial" w:cs="Arial"/>
          <w:b w:val="0"/>
          <w:i w:val="0"/>
          <w:sz w:val="22"/>
        </w:rPr>
        <w:t>The following artifacts were produced during this analysis and are available for re-use and audit:</w:t>
      </w:r>
    </w:p>
    <w:p>
      <w:pPr>
        <w:pStyle w:val="ListBullet"/>
        <w:spacing w:line="312" w:lineRule="auto"/>
      </w:pPr>
      <w:r>
        <w:rPr>
          <w:rFonts w:ascii="Arial" w:hAnsi="Arial" w:eastAsia="Arial" w:cs="Arial"/>
          <w:b w:val="0"/>
          <w:i w:val="0"/>
          <w:sz w:val="21"/>
        </w:rPr>
        <w:t>logistics.db — SQLite database with all three tables loaded and indexed.</w:t>
      </w:r>
    </w:p>
    <w:p>
      <w:pPr>
        <w:pStyle w:val="ListBullet"/>
        <w:spacing w:line="312" w:lineRule="auto"/>
      </w:pPr>
      <w:r>
        <w:rPr>
          <w:rFonts w:ascii="Arial" w:hAnsi="Arial" w:eastAsia="Arial" w:cs="Arial"/>
          <w:b w:val="0"/>
          <w:i w:val="0"/>
          <w:sz w:val="21"/>
        </w:rPr>
        <w:t>logistics_schema.sql — DDL for all tables, indexes, and foreign keys.</w:t>
      </w:r>
    </w:p>
    <w:p>
      <w:pPr>
        <w:pStyle w:val="ListBullet"/>
        <w:spacing w:line="312" w:lineRule="auto"/>
      </w:pPr>
      <w:r>
        <w:rPr>
          <w:rFonts w:ascii="Arial" w:hAnsi="Arial" w:eastAsia="Arial" w:cs="Arial"/>
          <w:b w:val="0"/>
          <w:i w:val="0"/>
          <w:sz w:val="21"/>
        </w:rPr>
        <w:t>build_logistics_db.py — Idempotent ETL script that rebuilds the database from CSVs.</w:t>
      </w:r>
    </w:p>
    <w:p>
      <w:pPr>
        <w:pStyle w:val="ListBullet"/>
        <w:spacing w:line="312" w:lineRule="auto"/>
      </w:pPr>
      <w:r>
        <w:rPr>
          <w:rFonts w:ascii="Arial" w:hAnsi="Arial" w:eastAsia="Arial" w:cs="Arial"/>
          <w:b w:val="0"/>
          <w:i w:val="0"/>
          <w:sz w:val="21"/>
        </w:rPr>
        <w:t>analyze_logistics.py — Analysis script that produces all metrics and charts.</w:t>
      </w:r>
    </w:p>
    <w:p>
      <w:pPr>
        <w:pStyle w:val="ListBullet"/>
        <w:spacing w:line="312" w:lineRule="auto"/>
      </w:pPr>
      <w:r>
        <w:rPr>
          <w:rFonts w:ascii="Arial" w:hAnsi="Arial" w:eastAsia="Arial" w:cs="Arial"/>
          <w:b w:val="0"/>
          <w:i w:val="0"/>
          <w:sz w:val="21"/>
        </w:rPr>
        <w:t>analysis_results.json — All numerical results in machine-readable form.</w:t>
      </w:r>
    </w:p>
    <w:p>
      <w:pPr>
        <w:pStyle w:val="ListBullet"/>
        <w:spacing w:line="312" w:lineRule="auto"/>
      </w:pPr>
      <w:r>
        <w:rPr>
          <w:rFonts w:ascii="Arial" w:hAnsi="Arial" w:eastAsia="Arial" w:cs="Arial"/>
          <w:b w:val="0"/>
          <w:i w:val="0"/>
          <w:sz w:val="21"/>
        </w:rPr>
        <w:t>charts/ — Six PNG charts (150 DPI) embedded in this report.</w:t>
      </w:r>
    </w:p>
    <w:p>
      <w:pPr>
        <w:pStyle w:val="Heading2"/>
        <w:keepNext/>
        <w:spacing w:before="200" w:after="120"/>
      </w:pPr>
      <w:r>
        <w:rPr>
          <w:rFonts w:ascii="Arial" w:hAnsi="Arial" w:eastAsia="Arial" w:cs="Arial"/>
          <w:b/>
          <w:i w:val="0"/>
          <w:color w:val="2E5A88"/>
          <w:sz w:val="26"/>
        </w:rPr>
        <w:t>C. Reproducibility</w:t>
      </w:r>
    </w:p>
    <w:p>
      <w:pPr>
        <w:spacing w:after="120" w:before="0" w:line="312" w:lineRule="auto"/>
        <w:ind w:firstLine="0"/>
      </w:pPr>
      <w:r>
        <w:rPr>
          <w:rFonts w:ascii="Arial" w:hAnsi="Arial" w:eastAsia="Arial" w:cs="Arial"/>
          <w:b w:val="0"/>
          <w:i w:val="0"/>
          <w:sz w:val="22"/>
        </w:rPr>
        <w:t>To reproduce this analysis end-to-end, run the following commands in order. The build script is idempotent — it wipes and recreates the database on each run — and the analysis script regenerates all charts and the results JSON deterministically.</w:t>
      </w:r>
    </w:p>
    <w:p>
      <w:pPr>
        <w:spacing w:line="288" w:lineRule="auto"/>
        <w:ind w:left="567"/>
      </w:pPr>
      <w:r>
        <w:rPr>
          <w:rFonts w:ascii="Consolas" w:hAnsi="Consolas" w:eastAsia="Consolas" w:cs="Consolas"/>
          <w:b w:val="0"/>
          <w:i w:val="0"/>
          <w:color w:val="2E5A88"/>
          <w:sz w:val="20"/>
        </w:rPr>
        <w:t>$ python3 /home/z/my-project/download/build_logistics_db.py</w:t>
      </w:r>
    </w:p>
    <w:p>
      <w:pPr>
        <w:spacing w:line="288" w:lineRule="auto"/>
        <w:ind w:left="567"/>
      </w:pPr>
      <w:r>
        <w:rPr>
          <w:rFonts w:ascii="Consolas" w:hAnsi="Consolas" w:eastAsia="Consolas" w:cs="Consolas"/>
          <w:b w:val="0"/>
          <w:i w:val="0"/>
          <w:color w:val="2E5A88"/>
          <w:sz w:val="20"/>
        </w:rPr>
        <w:t>$ python3 /home/z/my-project/download/analyze_logistics.py</w:t>
      </w:r>
    </w:p>
    <w:p>
      <w:pPr>
        <w:spacing w:line="288" w:lineRule="auto"/>
        <w:ind w:left="567"/>
      </w:pPr>
      <w:r>
        <w:rPr>
          <w:rFonts w:ascii="Consolas" w:hAnsi="Consolas" w:eastAsia="Consolas" w:cs="Consolas"/>
          <w:b w:val="0"/>
          <w:i w:val="0"/>
          <w:color w:val="2E5A88"/>
          <w:sz w:val="20"/>
        </w:rPr>
        <w:t>$ python3 /home/z/my-project/download/generate_report.py</w:t>
      </w:r>
    </w:p>
    <w:sectPr w:rsidR="00FC693F" w:rsidRPr="0006063C" w:rsidSect="00034616">
      <w:headerReference w:type="default" r:id="rId9"/>
      <w:footerReference w:type="default" r:id="rId10"/>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b w:val="0"/>
        <w:i w:val="0"/>
        <w:sz w:val="20"/>
      </w:rPr>
      <w:fldChar w:fldCharType="begin"/>
      <w:instrText xml:space="preserve">PAGE \* MERGEFORMAT</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s="Arial"/>
        <w:b w:val="0"/>
        <w:i/>
        <w:color w:val="808080"/>
        <w:sz w:val="20"/>
      </w:rPr>
      <w:t>Logistics Database — Data Analysis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