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36"/>
          <w:szCs w:val="44"/>
          <w:highlight w:val="yellow"/>
        </w:rPr>
      </w:pPr>
      <w:r>
        <w:rPr>
          <w:rFonts w:hint="eastAsia"/>
          <w:b/>
          <w:bCs/>
          <w:sz w:val="36"/>
          <w:szCs w:val="44"/>
          <w:highlight w:val="yellow"/>
        </w:rPr>
        <w:t>Deploying a Predictive Model with KServe on Minikube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1. Install and configure KServe on a local Kubernetes cluster (Minikube)</w:t>
      </w:r>
    </w:p>
    <w:p>
      <w:pPr>
        <w:ind w:firstLine="241" w:firstLineChars="10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1.1Install missing dependencies</w:t>
      </w:r>
    </w:p>
    <w:p>
      <w:pPr>
        <w:ind w:firstLine="210" w:firstLineChars="100"/>
      </w:pPr>
      <w:r>
        <w:drawing>
          <wp:inline distT="0" distB="0" distL="114300" distR="114300">
            <wp:extent cx="5259070" cy="1522730"/>
            <wp:effectExtent l="0" t="0" r="825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10" w:firstLineChars="1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Install helm</w:t>
      </w:r>
    </w:p>
    <w:p>
      <w:pPr>
        <w:ind w:firstLine="210" w:firstLineChars="100"/>
      </w:pPr>
      <w:r>
        <w:drawing>
          <wp:inline distT="0" distB="0" distL="114300" distR="114300">
            <wp:extent cx="5272405" cy="3357880"/>
            <wp:effectExtent l="0" t="0" r="444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300" w:beforeAutospacing="0" w:after="150" w:afterAutospacing="0" w:line="9" w:lineRule="atLeast"/>
        <w:ind w:right="0" w:firstLine="241" w:firstLineChars="100"/>
        <w:rPr>
          <w:rFonts w:hint="default" w:hAnsi="Helvetica" w:eastAsia="Helvetica" w:cs="Helvetica" w:asciiTheme="minorAscii"/>
          <w:b/>
          <w:i w:val="0"/>
          <w:caps w:val="0"/>
          <w:color w:val="1C1E21"/>
          <w:spacing w:val="0"/>
          <w:sz w:val="24"/>
          <w:szCs w:val="24"/>
        </w:rPr>
      </w:pPr>
      <w:r>
        <w:rPr>
          <w:rFonts w:hint="eastAsia" w:asciiTheme="minorAscii"/>
          <w:sz w:val="24"/>
          <w:szCs w:val="24"/>
          <w:lang w:val="en-US" w:eastAsia="zh-CN"/>
        </w:rPr>
        <w:t>1.2</w:t>
      </w:r>
      <w:r>
        <w:rPr>
          <w:rFonts w:hint="default" w:hAnsi="Helvetica" w:eastAsia="Helvetica" w:cs="Helvetica" w:asciiTheme="minorAscii"/>
          <w:b/>
          <w:i w:val="0"/>
          <w:caps w:val="0"/>
          <w:color w:val="1C1E21"/>
          <w:spacing w:val="0"/>
          <w:sz w:val="24"/>
          <w:szCs w:val="24"/>
        </w:rPr>
        <w:t>Install KServe Quickstart Environment</w:t>
      </w:r>
    </w:p>
    <w:p>
      <w:pPr>
        <w:ind w:firstLine="241" w:firstLineChars="100"/>
        <w:rPr>
          <w:rFonts w:hint="default" w:hAnsi="Helvetica" w:eastAsia="宋体" w:cs="Helvetica" w:asciiTheme="minorAscii"/>
          <w:b w:val="0"/>
          <w:bCs/>
          <w:i w:val="0"/>
          <w:caps w:val="0"/>
          <w:color w:val="1C1E21"/>
          <w:spacing w:val="0"/>
          <w:sz w:val="22"/>
          <w:szCs w:val="22"/>
          <w:lang w:val="en-US" w:eastAsia="zh-CN"/>
        </w:rPr>
      </w:pPr>
      <w:r>
        <w:rPr>
          <w:rFonts w:hint="eastAsia" w:hAnsi="Helvetica" w:eastAsia="宋体" w:cs="Helvetica" w:asciiTheme="minorAscii"/>
          <w:b/>
          <w:i w:val="0"/>
          <w:caps w:val="0"/>
          <w:color w:val="1C1E21"/>
          <w:spacing w:val="0"/>
          <w:sz w:val="24"/>
          <w:szCs w:val="24"/>
          <w:lang w:val="en-US" w:eastAsia="zh-CN"/>
        </w:rPr>
        <w:t xml:space="preserve">   </w:t>
      </w:r>
      <w:r>
        <w:rPr>
          <w:rFonts w:hint="eastAsia" w:hAnsi="Helvetica" w:eastAsia="宋体" w:cs="Helvetica" w:asciiTheme="minorAscii"/>
          <w:b w:val="0"/>
          <w:bCs/>
          <w:i w:val="0"/>
          <w:caps w:val="0"/>
          <w:color w:val="1C1E21"/>
          <w:spacing w:val="0"/>
          <w:sz w:val="22"/>
          <w:szCs w:val="22"/>
          <w:lang w:val="en-US" w:eastAsia="zh-CN"/>
        </w:rPr>
        <w:t>1.2.1 Quick Install</w:t>
      </w:r>
      <w:r>
        <w:rPr>
          <w:rFonts w:hint="default" w:hAnsi="Helvetica" w:eastAsia="宋体" w:cs="Helvetica" w:asciiTheme="minorAscii"/>
          <w:b w:val="0"/>
          <w:bCs/>
          <w:i w:val="0"/>
          <w:caps w:val="0"/>
          <w:color w:val="1C1E21"/>
          <w:spacing w:val="0"/>
          <w:sz w:val="22"/>
          <w:szCs w:val="22"/>
          <w:lang w:val="en-US" w:eastAsia="zh-CN"/>
        </w:rPr>
        <w:t>----Predictive AI</w:t>
      </w:r>
    </w:p>
    <w:p>
      <w:pPr>
        <w:ind w:firstLine="210" w:firstLineChars="100"/>
        <w:rPr>
          <w:rFonts w:hint="default" w:hAnsi="Helvetica" w:eastAsia="宋体" w:cs="Helvetica" w:asciiTheme="minorAscii"/>
          <w:b w:val="0"/>
          <w:bCs/>
          <w:i w:val="0"/>
          <w:caps w:val="0"/>
          <w:color w:val="1C1E21"/>
          <w:spacing w:val="0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5262245" cy="2294890"/>
            <wp:effectExtent l="0" t="0" r="508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10" w:firstLineChars="100"/>
      </w:pPr>
      <w:r>
        <w:drawing>
          <wp:inline distT="0" distB="0" distL="114300" distR="114300">
            <wp:extent cx="5269865" cy="5299075"/>
            <wp:effectExtent l="0" t="0" r="698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9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10" w:firstLineChars="10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2701925"/>
            <wp:effectExtent l="0" t="0" r="317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20" w:firstLineChars="100"/>
        <w:rPr>
          <w:rFonts w:hint="default" w:hAnsi="Helvetica" w:eastAsia="宋体" w:cs="Helvetica" w:asciiTheme="minorAscii"/>
          <w:b w:val="0"/>
          <w:bCs/>
          <w:i w:val="0"/>
          <w:caps w:val="0"/>
          <w:color w:val="1C1E21"/>
          <w:spacing w:val="0"/>
          <w:sz w:val="22"/>
          <w:szCs w:val="22"/>
          <w:lang w:val="en-US" w:eastAsia="zh-CN"/>
        </w:rPr>
      </w:pPr>
      <w:r>
        <w:rPr>
          <w:rFonts w:hint="eastAsia" w:hAnsi="Helvetica" w:eastAsia="宋体" w:cs="Helvetica" w:asciiTheme="minorAscii"/>
          <w:b w:val="0"/>
          <w:bCs/>
          <w:i w:val="0"/>
          <w:caps w:val="0"/>
          <w:color w:val="1C1E21"/>
          <w:spacing w:val="0"/>
          <w:sz w:val="22"/>
          <w:szCs w:val="22"/>
          <w:lang w:val="en-US" w:eastAsia="zh-CN"/>
        </w:rPr>
        <w:t xml:space="preserve">   1.2.2Verify Installation----After installation, verify all components are working:</w:t>
      </w:r>
    </w:p>
    <w:p>
      <w:pPr>
        <w:ind w:firstLine="210" w:firstLineChars="100"/>
        <w:rPr>
          <w:rFonts w:hint="eastAsia" w:hAnsi="Helvetica" w:cs="Helvetica" w:asciiTheme="minorAscii" w:eastAsiaTheme="minorEastAsia"/>
          <w:b w:val="0"/>
          <w:bCs/>
          <w:i w:val="0"/>
          <w:caps w:val="0"/>
          <w:color w:val="1C1E21"/>
          <w:spacing w:val="0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5266055" cy="350520"/>
            <wp:effectExtent l="0" t="0" r="1270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2. Deploy a predictive model using a KServe InferenceService</w:t>
      </w:r>
    </w:p>
    <w:p>
      <w:pPr>
        <w:ind w:firstLine="241" w:firstLineChars="10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2.1.Create a namespace</w:t>
      </w:r>
    </w:p>
    <w:p>
      <w:pPr>
        <w:ind w:firstLine="210" w:firstLineChars="100"/>
        <w:rPr>
          <w:rFonts w:hint="eastAsia"/>
          <w:b/>
          <w:bCs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4150" cy="426085"/>
            <wp:effectExtent l="0" t="0" r="3175" b="254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2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41" w:firstLineChars="10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2.2.</w:t>
      </w:r>
      <w:r>
        <w:rPr>
          <w:rFonts w:hint="default"/>
          <w:b/>
          <w:bCs/>
          <w:sz w:val="24"/>
          <w:szCs w:val="32"/>
          <w:lang w:val="en-US" w:eastAsia="zh-CN"/>
        </w:rPr>
        <w:t>Create an </w:t>
      </w:r>
      <w:r>
        <w:rPr>
          <w:rFonts w:hint="eastAsia"/>
          <w:b/>
          <w:bCs/>
          <w:sz w:val="24"/>
          <w:szCs w:val="32"/>
          <w:lang w:val="en-US" w:eastAsia="zh-CN"/>
        </w:rPr>
        <w:t>InferenceService----yaml</w:t>
      </w:r>
    </w:p>
    <w:p>
      <w:pPr>
        <w:ind w:firstLine="210" w:firstLineChars="100"/>
        <w:rPr>
          <w:rFonts w:hint="eastAsia"/>
          <w:b/>
          <w:bCs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2880" cy="2388235"/>
            <wp:effectExtent l="0" t="0" r="4445" b="254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41" w:firstLineChars="10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2.3.</w:t>
      </w:r>
      <w:r>
        <w:rPr>
          <w:rFonts w:hint="default"/>
          <w:b/>
          <w:bCs/>
          <w:sz w:val="24"/>
          <w:szCs w:val="32"/>
          <w:lang w:val="en-US" w:eastAsia="zh-CN"/>
        </w:rPr>
        <w:t>Check </w:t>
      </w:r>
      <w:r>
        <w:rPr>
          <w:rFonts w:hint="eastAsia"/>
          <w:b/>
          <w:bCs/>
          <w:sz w:val="24"/>
          <w:szCs w:val="32"/>
          <w:lang w:val="en-US" w:eastAsia="zh-CN"/>
        </w:rPr>
        <w:t>InferenceService</w:t>
      </w:r>
      <w:r>
        <w:rPr>
          <w:rFonts w:hint="default"/>
          <w:b/>
          <w:bCs/>
          <w:sz w:val="24"/>
          <w:szCs w:val="32"/>
          <w:lang w:val="en-US" w:eastAsia="zh-CN"/>
        </w:rPr>
        <w:t> status</w:t>
      </w:r>
    </w:p>
    <w:p>
      <w:pPr>
        <w:ind w:firstLine="210" w:firstLineChars="100"/>
        <w:rPr>
          <w:rFonts w:hint="eastAsia"/>
          <w:b/>
          <w:bCs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6690" cy="431165"/>
            <wp:effectExtent l="0" t="0" r="635" b="698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41" w:firstLineChars="10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2.4.</w:t>
      </w:r>
      <w:r>
        <w:rPr>
          <w:rFonts w:hint="default"/>
          <w:b/>
          <w:bCs/>
          <w:sz w:val="24"/>
          <w:szCs w:val="32"/>
          <w:lang w:val="en-US" w:eastAsia="zh-CN"/>
        </w:rPr>
        <w:t xml:space="preserve"> Determine the ingress IP and ports</w:t>
      </w:r>
    </w:p>
    <w:p>
      <w:pPr>
        <w:ind w:firstLine="210" w:firstLineChars="100"/>
        <w:rPr>
          <w:rFonts w:hint="default"/>
          <w:b/>
          <w:bCs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2405" cy="331470"/>
            <wp:effectExtent l="0" t="0" r="4445" b="190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41" w:firstLineChars="10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2.</w:t>
      </w:r>
      <w:r>
        <w:rPr>
          <w:rFonts w:hint="default"/>
          <w:b/>
          <w:bCs/>
          <w:sz w:val="24"/>
          <w:szCs w:val="32"/>
          <w:lang w:val="en-US" w:eastAsia="zh-CN"/>
        </w:rPr>
        <w:t>5. Perform inference</w:t>
      </w:r>
    </w:p>
    <w:p>
      <w:pPr>
        <w:ind w:firstLine="210" w:firstLineChars="100"/>
        <w:rPr>
          <w:rFonts w:hint="eastAsia"/>
          <w:b/>
          <w:bCs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9230" cy="1443990"/>
            <wp:effectExtent l="0" t="0" r="7620" b="381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8"/>
          <w:szCs w:val="36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3. Monitor the status of the service and debug common issues</w:t>
      </w:r>
    </w:p>
    <w:p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 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Check InferenceService Status:</w:t>
      </w:r>
    </w:p>
    <w:p>
      <w:r>
        <w:drawing>
          <wp:inline distT="0" distB="0" distL="114300" distR="114300">
            <wp:extent cx="5272405" cy="389890"/>
            <wp:effectExtent l="0" t="0" r="4445" b="63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Monitor Pod Status</w:t>
      </w:r>
    </w:p>
    <w:p>
      <w:r>
        <w:drawing>
          <wp:inline distT="0" distB="0" distL="114300" distR="114300">
            <wp:extent cx="5262245" cy="2875915"/>
            <wp:effectExtent l="0" t="0" r="5080" b="63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Check Logs for Debugging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856615"/>
            <wp:effectExtent l="0" t="0" r="7620" b="63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4. Find out how to reach the InferenceService from outside the cluster.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32"/>
          <w:lang w:val="en-US" w:eastAsia="zh-CN"/>
        </w:rPr>
        <w:t>Methods for External Access</w:t>
      </w:r>
    </w:p>
    <w:p>
      <w:pPr>
        <w:ind w:firstLine="220" w:firstLineChars="10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Port Forwarding (Recommended for Development)</w:t>
      </w:r>
    </w:p>
    <w:p>
      <w:r>
        <w:drawing>
          <wp:inline distT="0" distB="0" distL="114300" distR="114300">
            <wp:extent cx="5264150" cy="415290"/>
            <wp:effectExtent l="0" t="0" r="3175" b="381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 Service Discovery Patterns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  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Internal Cluster Access</w:t>
      </w:r>
    </w:p>
    <w:p>
      <w:r>
        <w:drawing>
          <wp:inline distT="0" distB="0" distL="114300" distR="114300">
            <wp:extent cx="5255260" cy="372745"/>
            <wp:effectExtent l="0" t="0" r="2540" b="825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9"/>
        <w:gridCol w:w="1796"/>
        <w:gridCol w:w="1881"/>
        <w:gridCol w:w="34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Pros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Cons</w:t>
            </w:r>
          </w:p>
        </w:tc>
        <w:tc>
          <w:tcPr>
            <w:tcW w:w="3420" w:type="dxa"/>
            <w:tcBorders>
              <w:top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Use Case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Port Forwarding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Simple, no config needed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Temporary, single connection</w:t>
            </w:r>
          </w:p>
        </w:tc>
        <w:tc>
          <w:tcPr>
            <w:tcW w:w="3420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Local development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Minikube Tunnel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Simulates LoadBalancer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Requires separate process</w:t>
            </w:r>
          </w:p>
        </w:tc>
        <w:tc>
          <w:tcPr>
            <w:tcW w:w="3420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LoadBalancer testing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NodePort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Direct node access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High port numbers, security</w:t>
            </w:r>
          </w:p>
        </w:tc>
        <w:tc>
          <w:tcPr>
            <w:tcW w:w="3420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Quick external access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Ingress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Host-based routing, TLS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Complex setup</w:t>
            </w:r>
          </w:p>
        </w:tc>
        <w:tc>
          <w:tcPr>
            <w:tcW w:w="3420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Production-like setup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5. Send inference requests and interpret results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32"/>
          <w:lang w:val="en-US" w:eastAsia="zh-CN"/>
        </w:rPr>
        <w:t>Preparing Inference Requests</w:t>
      </w:r>
    </w:p>
    <w:p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 KServe supports two main request formats</w:t>
      </w:r>
    </w:p>
    <w:p>
      <w:pPr>
        <w:ind w:firstLine="440" w:firstLineChars="200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default"/>
          <w:b w:val="0"/>
          <w:bCs w:val="0"/>
          <w:sz w:val="22"/>
          <w:szCs w:val="28"/>
          <w:lang w:val="en-US" w:eastAsia="zh-CN"/>
        </w:rPr>
        <w:t>Instances Format (Legacy):</w:t>
      </w:r>
    </w:p>
    <w:p>
      <w:pPr>
        <w:ind w:firstLine="420" w:firstLineChars="200"/>
      </w:pPr>
      <w:r>
        <w:drawing>
          <wp:inline distT="0" distB="0" distL="114300" distR="114300">
            <wp:extent cx="3300095" cy="855345"/>
            <wp:effectExtent l="0" t="0" r="5080" b="1905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009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Inputs Format</w:t>
      </w:r>
      <w:r>
        <w:rPr>
          <w:rFonts w:hint="eastAsia"/>
          <w:lang w:val="en-US" w:eastAsia="zh-CN"/>
        </w:rPr>
        <w:t>:</w:t>
      </w:r>
    </w:p>
    <w:p>
      <w:pPr>
        <w:ind w:firstLine="420" w:firstLineChars="200"/>
      </w:pPr>
      <w:r>
        <w:drawing>
          <wp:inline distT="0" distB="0" distL="114300" distR="114300">
            <wp:extent cx="2799080" cy="1442720"/>
            <wp:effectExtent l="0" t="0" r="1270" b="508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908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</w:pPr>
      <w:r>
        <w:rPr>
          <w:rFonts w:hint="eastAsia"/>
        </w:rPr>
        <w:t>Sample Data Preparation</w:t>
      </w:r>
    </w:p>
    <w:p>
      <w:pPr>
        <w:ind w:firstLine="420" w:firstLineChars="200"/>
      </w:pPr>
      <w:r>
        <w:drawing>
          <wp:inline distT="0" distB="0" distL="114300" distR="114300">
            <wp:extent cx="3117215" cy="3183890"/>
            <wp:effectExtent l="0" t="0" r="6985" b="6985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7215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2" w:firstLineChars="20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Sending Inference Requests</w:t>
      </w:r>
    </w:p>
    <w:p>
      <w:pPr>
        <w:ind w:firstLine="482" w:firstLineChars="20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 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Basic Inference Request</w:t>
      </w:r>
    </w:p>
    <w:p>
      <w:pPr>
        <w:ind w:firstLine="420" w:firstLineChars="200"/>
      </w:pPr>
      <w:r>
        <w:drawing>
          <wp:inline distT="0" distB="0" distL="114300" distR="114300">
            <wp:extent cx="5257800" cy="1340485"/>
            <wp:effectExtent l="0" t="0" r="0" b="2540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</w:pPr>
    </w:p>
    <w:p>
      <w:pPr>
        <w:ind w:firstLine="482" w:firstLineChars="20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Interpreting Results</w:t>
      </w:r>
    </w:p>
    <w:p>
      <w:pPr>
        <w:ind w:firstLine="482" w:firstLineChars="20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 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Understanding Iris Dataset Classes</w:t>
      </w:r>
    </w:p>
    <w:p>
      <w:pPr>
        <w:ind w:firstLine="440" w:firstLineChars="20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  The Iris dataset has three classes:</w:t>
      </w:r>
    </w:p>
    <w:p>
      <w:pPr>
        <w:ind w:firstLine="440" w:firstLineChars="200"/>
        <w:rPr>
          <w:rFonts w:hint="eastAsia"/>
          <w:b w:val="0"/>
          <w:bCs w:val="0"/>
          <w:sz w:val="22"/>
          <w:szCs w:val="28"/>
          <w:lang w:val="en-US" w:eastAsia="zh-CN"/>
        </w:rPr>
      </w:pPr>
    </w:p>
    <w:p>
      <w:pPr>
        <w:ind w:firstLine="440" w:firstLineChars="20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0: Iris Setosa</w:t>
      </w:r>
    </w:p>
    <w:p>
      <w:pPr>
        <w:ind w:firstLine="440" w:firstLineChars="200"/>
        <w:rPr>
          <w:rFonts w:hint="eastAsia"/>
          <w:b w:val="0"/>
          <w:bCs w:val="0"/>
          <w:sz w:val="22"/>
          <w:szCs w:val="28"/>
          <w:lang w:val="en-US" w:eastAsia="zh-CN"/>
        </w:rPr>
      </w:pPr>
    </w:p>
    <w:p>
      <w:pPr>
        <w:ind w:firstLine="440" w:firstLineChars="20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1: Iris Versicolour</w:t>
      </w:r>
    </w:p>
    <w:p>
      <w:pPr>
        <w:ind w:firstLine="440" w:firstLineChars="200"/>
        <w:rPr>
          <w:rFonts w:hint="eastAsia"/>
          <w:b w:val="0"/>
          <w:bCs w:val="0"/>
          <w:sz w:val="22"/>
          <w:szCs w:val="28"/>
          <w:lang w:val="en-US" w:eastAsia="zh-CN"/>
        </w:rPr>
      </w:pPr>
    </w:p>
    <w:p>
      <w:pPr>
        <w:ind w:firstLine="440" w:firstLineChars="20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2: Iris Virginica</w:t>
      </w:r>
    </w:p>
    <w:p>
      <w:pPr>
        <w:ind w:firstLine="440" w:firstLineChars="20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 </w:t>
      </w:r>
    </w:p>
    <w:p>
      <w:pPr>
        <w:ind w:firstLine="482" w:firstLineChars="20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Advanced Inference Patterns</w:t>
      </w:r>
    </w:p>
    <w:p>
      <w:pPr>
        <w:ind w:firstLine="440" w:firstLineChars="200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default"/>
          <w:b w:val="0"/>
          <w:bCs w:val="0"/>
          <w:sz w:val="22"/>
          <w:szCs w:val="28"/>
          <w:lang w:val="en-US" w:eastAsia="zh-CN"/>
        </w:rPr>
        <w:t>Custom Headers and Parameters</w:t>
      </w:r>
    </w:p>
    <w:p>
      <w:pPr>
        <w:ind w:firstLine="420" w:firstLineChars="200"/>
      </w:pPr>
      <w:r>
        <w:drawing>
          <wp:inline distT="0" distB="0" distL="114300" distR="114300">
            <wp:extent cx="5258435" cy="1226185"/>
            <wp:effectExtent l="0" t="0" r="8890" b="2540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</w:pPr>
    </w:p>
    <w:p>
      <w:pPr>
        <w:ind w:firstLine="482" w:firstLineChars="20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Troubleshooting Inference Issues</w:t>
      </w:r>
    </w:p>
    <w:p>
      <w:pPr>
        <w:ind w:firstLine="660" w:firstLineChars="300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default"/>
          <w:b w:val="0"/>
          <w:bCs w:val="0"/>
          <w:sz w:val="22"/>
          <w:szCs w:val="28"/>
          <w:lang w:val="en-US" w:eastAsia="zh-CN"/>
        </w:rPr>
        <w:t>Problem: Empty or null predictions</w:t>
      </w:r>
    </w:p>
    <w:p>
      <w:pPr>
        <w:ind w:firstLine="630" w:firstLineChars="300"/>
      </w:pPr>
      <w:r>
        <w:drawing>
          <wp:inline distT="0" distB="0" distL="114300" distR="114300">
            <wp:extent cx="5268595" cy="538480"/>
            <wp:effectExtent l="0" t="0" r="8255" b="4445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30" w:firstLineChars="3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Problem: Wrong prediction values</w:t>
      </w:r>
    </w:p>
    <w:p>
      <w:pPr>
        <w:ind w:firstLine="630" w:firstLineChars="3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Problem: Timeout errors</w:t>
      </w: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ind w:firstLine="321" w:firstLineChars="100"/>
        <w:rPr>
          <w:rFonts w:hint="default"/>
          <w:b/>
          <w:bCs/>
          <w:sz w:val="32"/>
          <w:szCs w:val="40"/>
          <w:highlight w:val="yellow"/>
          <w:lang w:val="en-US" w:eastAsia="zh-CN"/>
        </w:rPr>
      </w:pPr>
      <w:r>
        <w:rPr>
          <w:rFonts w:hint="default"/>
          <w:b/>
          <w:bCs/>
          <w:sz w:val="32"/>
          <w:szCs w:val="40"/>
          <w:highlight w:val="yellow"/>
          <w:lang w:val="en-US" w:eastAsia="zh-CN"/>
        </w:rPr>
        <w:t>Summary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This experiment successfully demonstrated:</w:t>
      </w:r>
    </w:p>
    <w:p>
      <w:pPr>
        <w:ind w:firstLine="720" w:firstLineChars="300"/>
        <w:rPr>
          <w:rFonts w:hint="default"/>
          <w:sz w:val="24"/>
          <w:szCs w:val="32"/>
          <w:lang w:val="en-US" w:eastAsia="zh-CN"/>
        </w:rPr>
      </w:pPr>
    </w:p>
    <w:p>
      <w:pPr>
        <w:ind w:firstLine="240" w:firstLineChars="10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</w:t>
      </w:r>
      <w:r>
        <w:rPr>
          <w:rFonts w:hint="default"/>
          <w:b/>
          <w:bCs/>
          <w:sz w:val="24"/>
          <w:szCs w:val="32"/>
          <w:lang w:val="en-US" w:eastAsia="zh-CN"/>
        </w:rPr>
        <w:t>Comprehensive Monitoring:</w:t>
      </w:r>
      <w:r>
        <w:rPr>
          <w:rFonts w:hint="default"/>
          <w:sz w:val="24"/>
          <w:szCs w:val="32"/>
          <w:lang w:val="en-US" w:eastAsia="zh-CN"/>
        </w:rPr>
        <w:t xml:space="preserve"> Established procedures for checking KServe service status, diagnosing common issues like webhook failures and container crashes.</w:t>
      </w:r>
    </w:p>
    <w:p>
      <w:pPr>
        <w:ind w:firstLine="720" w:firstLineChars="300"/>
        <w:rPr>
          <w:rFonts w:hint="default"/>
          <w:sz w:val="24"/>
          <w:szCs w:val="32"/>
          <w:lang w:val="en-US" w:eastAsia="zh-CN"/>
        </w:rPr>
      </w:pPr>
    </w:p>
    <w:p>
      <w:pPr>
        <w:ind w:firstLine="240" w:firstLineChars="10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2.</w:t>
      </w:r>
      <w:r>
        <w:rPr>
          <w:rFonts w:hint="default"/>
          <w:b/>
          <w:bCs/>
          <w:sz w:val="24"/>
          <w:szCs w:val="32"/>
          <w:lang w:val="en-US" w:eastAsia="zh-CN"/>
        </w:rPr>
        <w:t>Multiple External</w:t>
      </w:r>
      <w:r>
        <w:rPr>
          <w:rFonts w:hint="default"/>
          <w:sz w:val="24"/>
          <w:szCs w:val="32"/>
          <w:lang w:val="en-US" w:eastAsia="zh-CN"/>
        </w:rPr>
        <w:t xml:space="preserve"> Access Methods: Implemented and tested port forwarding, Minikube tunnel, NodePort, and Ingress configurations for accessing InferenceService from outside the cluster.</w:t>
      </w:r>
    </w:p>
    <w:p>
      <w:pPr>
        <w:ind w:firstLine="720" w:firstLineChars="300"/>
        <w:rPr>
          <w:rFonts w:hint="default"/>
          <w:sz w:val="24"/>
          <w:szCs w:val="32"/>
          <w:lang w:val="en-US" w:eastAsia="zh-CN"/>
        </w:rPr>
      </w:pPr>
    </w:p>
    <w:p>
      <w:pPr>
        <w:ind w:firstLine="240" w:firstLineChars="10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3.</w:t>
      </w:r>
      <w:r>
        <w:rPr>
          <w:rFonts w:hint="default"/>
          <w:b/>
          <w:bCs/>
          <w:sz w:val="24"/>
          <w:szCs w:val="32"/>
          <w:lang w:val="en-US" w:eastAsia="zh-CN"/>
        </w:rPr>
        <w:t>Complete Inference Workflow:</w:t>
      </w:r>
      <w:r>
        <w:rPr>
          <w:rFonts w:hint="default"/>
          <w:sz w:val="24"/>
          <w:szCs w:val="32"/>
          <w:lang w:val="en-US" w:eastAsia="zh-CN"/>
        </w:rPr>
        <w:t xml:space="preserve"> Developed end-to-end inference request patterns, including request preparation, sending predictions, and interpreting results for the Iris classification model.</w:t>
      </w:r>
    </w:p>
    <w:p>
      <w:pPr>
        <w:ind w:firstLine="720" w:firstLineChars="300"/>
        <w:rPr>
          <w:rFonts w:hint="default"/>
          <w:sz w:val="24"/>
          <w:szCs w:val="32"/>
          <w:lang w:val="en-US" w:eastAsia="zh-CN"/>
        </w:rPr>
      </w:pPr>
    </w:p>
    <w:p>
      <w:pPr>
        <w:ind w:firstLine="240" w:firstLineChars="10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The experiment confirmed that KServe provides a robust, production-ready platform for serving machine learning models, with proper monitoring, external access capabilities, and standardized inference interfaces.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5054C1"/>
    <w:rsid w:val="170D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2025-12-26T02:11:00Z</dcterms:created>
  <dc:creator>土耳其紫皮开心果</dc:creator>
  <cp:lastModifiedBy>漫天飞舞</cp:lastModifiedBy>
  <dcterms:modified xsi:type="dcterms:W3CDTF">2025-12-28T16:17:48Z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