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94BF9" w14:textId="6A331997" w:rsidR="001A49A4" w:rsidRPr="00A072A7" w:rsidRDefault="001A49A4" w:rsidP="001A49A4">
      <w:pPr>
        <w:jc w:val="center"/>
        <w:rPr>
          <w:rFonts w:ascii="黑体" w:eastAsia="黑体" w:hAnsi="黑体" w:hint="eastAsia"/>
          <w:b/>
          <w:bCs/>
          <w:sz w:val="36"/>
          <w:szCs w:val="36"/>
        </w:rPr>
      </w:pPr>
      <w:r w:rsidRPr="00A072A7">
        <w:rPr>
          <w:rFonts w:ascii="黑体" w:eastAsia="黑体" w:hAnsi="黑体" w:hint="eastAsia"/>
          <w:b/>
          <w:bCs/>
          <w:sz w:val="36"/>
          <w:szCs w:val="36"/>
        </w:rPr>
        <w:t>关停相关申诉责任认定要求-20250305</w:t>
      </w:r>
    </w:p>
    <w:p w14:paraId="2BD46272" w14:textId="77777777" w:rsidR="001A49A4" w:rsidRDefault="001A49A4" w:rsidP="001A49A4">
      <w:pPr>
        <w:rPr>
          <w:rFonts w:hint="eastAsia"/>
        </w:rPr>
      </w:pPr>
    </w:p>
    <w:p w14:paraId="3A23D8F1" w14:textId="77777777" w:rsidR="001A49A4" w:rsidRDefault="001A49A4" w:rsidP="001A49A4">
      <w:pPr>
        <w:rPr>
          <w:rFonts w:hint="eastAsia"/>
        </w:rPr>
      </w:pPr>
    </w:p>
    <w:p w14:paraId="1BA76B46" w14:textId="0DD1868F" w:rsidR="001A49A4" w:rsidRPr="00A072A7" w:rsidRDefault="001A49A4" w:rsidP="001A49A4">
      <w:pPr>
        <w:ind w:firstLineChars="200" w:firstLine="640"/>
        <w:rPr>
          <w:rFonts w:ascii="仿宋_GB2312" w:eastAsia="仿宋_GB2312" w:hint="eastAsia"/>
          <w:sz w:val="32"/>
          <w:szCs w:val="36"/>
        </w:rPr>
      </w:pPr>
      <w:r w:rsidRPr="00A072A7">
        <w:rPr>
          <w:rFonts w:ascii="仿宋_GB2312" w:eastAsia="仿宋_GB2312" w:hint="eastAsia"/>
          <w:sz w:val="32"/>
          <w:szCs w:val="36"/>
        </w:rPr>
        <w:t>反诈模型关停且关停时间为25年3月1日之前的2025年申诉，仍按照企业提交书面材料的方式进行判责，暂不以接口查询结果为依据判责，期间核验接口正常开放，便于各方熟悉系统，和企业材料进行相互验证、发现问题解决问题。反诈模型关停且关停时间为25年3月1日及之后的申诉定责，正式以接口查询结果为依据进行线上认责，具体说明如下：</w:t>
      </w:r>
    </w:p>
    <w:p w14:paraId="00CB251D" w14:textId="77777777" w:rsidR="001A49A4" w:rsidRPr="00A072A7" w:rsidRDefault="001A49A4" w:rsidP="001A49A4">
      <w:pPr>
        <w:ind w:firstLineChars="200" w:firstLine="640"/>
        <w:rPr>
          <w:rFonts w:ascii="仿宋_GB2312" w:eastAsia="仿宋_GB2312" w:hint="eastAsia"/>
          <w:sz w:val="32"/>
          <w:szCs w:val="36"/>
        </w:rPr>
      </w:pPr>
      <w:r w:rsidRPr="00A072A7">
        <w:rPr>
          <w:rFonts w:ascii="仿宋_GB2312" w:eastAsia="仿宋_GB2312" w:hint="eastAsia"/>
          <w:sz w:val="32"/>
          <w:szCs w:val="36"/>
        </w:rPr>
        <w:t>1、对于反诈模型关停且关停时间为3月1日及之后的申诉，企业在定责报告中只需要提供关停时间和关停原因的文字说明，</w:t>
      </w:r>
      <w:proofErr w:type="gramStart"/>
      <w:r w:rsidRPr="00A072A7">
        <w:rPr>
          <w:rFonts w:ascii="仿宋_GB2312" w:eastAsia="仿宋_GB2312" w:hint="eastAsia"/>
          <w:sz w:val="32"/>
          <w:szCs w:val="36"/>
        </w:rPr>
        <w:t>判责时</w:t>
      </w:r>
      <w:proofErr w:type="gramEnd"/>
      <w:r w:rsidRPr="00A072A7">
        <w:rPr>
          <w:rFonts w:ascii="仿宋_GB2312" w:eastAsia="仿宋_GB2312" w:hint="eastAsia"/>
          <w:sz w:val="32"/>
          <w:szCs w:val="36"/>
        </w:rPr>
        <w:t>以接口查询结果为准，如果查询结果为：</w:t>
      </w:r>
    </w:p>
    <w:p w14:paraId="0C5B845B" w14:textId="02ED5576" w:rsidR="001A49A4" w:rsidRPr="00A072A7" w:rsidRDefault="001A49A4" w:rsidP="001A49A4">
      <w:pPr>
        <w:rPr>
          <w:rFonts w:ascii="仿宋_GB2312" w:eastAsia="仿宋_GB2312" w:hint="eastAsia"/>
          <w:sz w:val="32"/>
          <w:szCs w:val="36"/>
        </w:rPr>
      </w:pPr>
      <w:r w:rsidRPr="00A072A7">
        <w:rPr>
          <w:rFonts w:ascii="仿宋_GB2312" w:eastAsia="仿宋_GB2312" w:hint="eastAsia"/>
          <w:sz w:val="32"/>
          <w:szCs w:val="36"/>
        </w:rPr>
        <w:t>（1）</w:t>
      </w:r>
      <w:proofErr w:type="gramStart"/>
      <w:r w:rsidRPr="00A072A7">
        <w:rPr>
          <w:rFonts w:ascii="仿宋_GB2312" w:eastAsia="仿宋_GB2312" w:hint="eastAsia"/>
          <w:sz w:val="32"/>
          <w:szCs w:val="36"/>
        </w:rPr>
        <w:t>符合断卡要求</w:t>
      </w:r>
      <w:proofErr w:type="gramEnd"/>
      <w:r w:rsidRPr="00A072A7">
        <w:rPr>
          <w:rFonts w:ascii="仿宋_GB2312" w:eastAsia="仿宋_GB2312" w:hint="eastAsia"/>
          <w:sz w:val="32"/>
          <w:szCs w:val="36"/>
        </w:rPr>
        <w:t>——未发现有责</w:t>
      </w:r>
    </w:p>
    <w:p w14:paraId="2DF16117" w14:textId="76FE2EC5" w:rsidR="001A49A4" w:rsidRPr="00A072A7" w:rsidRDefault="001A49A4" w:rsidP="001A49A4">
      <w:pPr>
        <w:rPr>
          <w:rFonts w:ascii="仿宋_GB2312" w:eastAsia="仿宋_GB2312" w:hint="eastAsia"/>
          <w:sz w:val="32"/>
          <w:szCs w:val="36"/>
        </w:rPr>
      </w:pPr>
      <w:r w:rsidRPr="00A072A7">
        <w:rPr>
          <w:rFonts w:ascii="仿宋_GB2312" w:eastAsia="仿宋_GB2312" w:hint="eastAsia"/>
          <w:sz w:val="32"/>
          <w:szCs w:val="36"/>
        </w:rPr>
        <w:t>（2）不</w:t>
      </w:r>
      <w:proofErr w:type="gramStart"/>
      <w:r w:rsidRPr="00A072A7">
        <w:rPr>
          <w:rFonts w:ascii="仿宋_GB2312" w:eastAsia="仿宋_GB2312" w:hint="eastAsia"/>
          <w:sz w:val="32"/>
          <w:szCs w:val="36"/>
        </w:rPr>
        <w:t>符合断卡要求</w:t>
      </w:r>
      <w:proofErr w:type="gramEnd"/>
      <w:r w:rsidRPr="00A072A7">
        <w:rPr>
          <w:rFonts w:ascii="仿宋_GB2312" w:eastAsia="仿宋_GB2312" w:hint="eastAsia"/>
          <w:sz w:val="32"/>
          <w:szCs w:val="36"/>
        </w:rPr>
        <w:t>——有责</w:t>
      </w:r>
    </w:p>
    <w:p w14:paraId="20268005" w14:textId="2FCED2BB" w:rsidR="001A49A4" w:rsidRPr="00A072A7" w:rsidRDefault="001A49A4" w:rsidP="001A49A4">
      <w:pPr>
        <w:rPr>
          <w:rFonts w:ascii="仿宋_GB2312" w:eastAsia="仿宋_GB2312" w:hint="eastAsia"/>
          <w:sz w:val="32"/>
          <w:szCs w:val="36"/>
        </w:rPr>
      </w:pPr>
      <w:r w:rsidRPr="00A072A7">
        <w:rPr>
          <w:rFonts w:ascii="仿宋_GB2312" w:eastAsia="仿宋_GB2312" w:hint="eastAsia"/>
          <w:sz w:val="32"/>
          <w:szCs w:val="36"/>
        </w:rPr>
        <w:t>（3）查无记录——有责</w:t>
      </w:r>
    </w:p>
    <w:p w14:paraId="0009F4AF" w14:textId="77777777" w:rsidR="001A49A4" w:rsidRPr="00A072A7" w:rsidRDefault="001A49A4" w:rsidP="001A49A4">
      <w:pPr>
        <w:ind w:firstLineChars="200" w:firstLine="640"/>
        <w:rPr>
          <w:rFonts w:ascii="仿宋_GB2312" w:eastAsia="仿宋_GB2312" w:hint="eastAsia"/>
          <w:sz w:val="32"/>
          <w:szCs w:val="36"/>
        </w:rPr>
      </w:pPr>
      <w:r w:rsidRPr="00A072A7">
        <w:rPr>
          <w:rFonts w:ascii="仿宋_GB2312" w:eastAsia="仿宋_GB2312" w:hint="eastAsia"/>
          <w:sz w:val="32"/>
          <w:szCs w:val="36"/>
        </w:rPr>
        <w:t>因企业在</w:t>
      </w:r>
      <w:proofErr w:type="gramStart"/>
      <w:r w:rsidRPr="00A072A7">
        <w:rPr>
          <w:rFonts w:ascii="仿宋_GB2312" w:eastAsia="仿宋_GB2312" w:hint="eastAsia"/>
          <w:sz w:val="32"/>
          <w:szCs w:val="36"/>
        </w:rPr>
        <w:t>网安系统漏传</w:t>
      </w:r>
      <w:proofErr w:type="gramEnd"/>
      <w:r w:rsidRPr="00A072A7">
        <w:rPr>
          <w:rFonts w:ascii="仿宋_GB2312" w:eastAsia="仿宋_GB2312" w:hint="eastAsia"/>
          <w:sz w:val="32"/>
          <w:szCs w:val="36"/>
        </w:rPr>
        <w:t>数据导致判定为不</w:t>
      </w:r>
      <w:proofErr w:type="gramStart"/>
      <w:r w:rsidRPr="00A072A7">
        <w:rPr>
          <w:rFonts w:ascii="仿宋_GB2312" w:eastAsia="仿宋_GB2312" w:hint="eastAsia"/>
          <w:sz w:val="32"/>
          <w:szCs w:val="36"/>
        </w:rPr>
        <w:t>符合断卡要求</w:t>
      </w:r>
      <w:proofErr w:type="gramEnd"/>
      <w:r w:rsidRPr="00A072A7">
        <w:rPr>
          <w:rFonts w:ascii="仿宋_GB2312" w:eastAsia="仿宋_GB2312" w:hint="eastAsia"/>
          <w:sz w:val="32"/>
          <w:szCs w:val="36"/>
        </w:rPr>
        <w:t>或查无记录的，由企业承担责任，不再接受申辩。</w:t>
      </w:r>
    </w:p>
    <w:p w14:paraId="18FC8387" w14:textId="77777777" w:rsidR="001A49A4" w:rsidRPr="00A072A7" w:rsidRDefault="001A49A4" w:rsidP="001A49A4">
      <w:pPr>
        <w:ind w:firstLineChars="200" w:firstLine="640"/>
        <w:rPr>
          <w:rFonts w:ascii="仿宋_GB2312" w:eastAsia="仿宋_GB2312" w:hint="eastAsia"/>
          <w:sz w:val="32"/>
          <w:szCs w:val="36"/>
        </w:rPr>
      </w:pPr>
      <w:r w:rsidRPr="00A072A7">
        <w:rPr>
          <w:rFonts w:ascii="仿宋_GB2312" w:eastAsia="仿宋_GB2312" w:hint="eastAsia"/>
          <w:sz w:val="32"/>
          <w:szCs w:val="36"/>
        </w:rPr>
        <w:t>2、对于反诈模型关停且关停时间为3月1日前的用户申诉（申诉日期为2025年1月1日及之后），企业仍按照</w:t>
      </w:r>
      <w:proofErr w:type="gramStart"/>
      <w:r w:rsidRPr="00A072A7">
        <w:rPr>
          <w:rFonts w:ascii="仿宋_GB2312" w:eastAsia="仿宋_GB2312" w:hint="eastAsia"/>
          <w:sz w:val="32"/>
          <w:szCs w:val="36"/>
        </w:rPr>
        <w:t>原认责要求</w:t>
      </w:r>
      <w:proofErr w:type="gramEnd"/>
      <w:r w:rsidRPr="00A072A7">
        <w:rPr>
          <w:rFonts w:ascii="仿宋_GB2312" w:eastAsia="仿宋_GB2312" w:hint="eastAsia"/>
          <w:sz w:val="32"/>
          <w:szCs w:val="36"/>
        </w:rPr>
        <w:t>提供关停原因和时间的文字说明，并附加核验短信通知和关停记录截图，不需要提供模型报备截图；</w:t>
      </w:r>
      <w:proofErr w:type="gramStart"/>
      <w:r w:rsidRPr="00A072A7">
        <w:rPr>
          <w:rFonts w:ascii="仿宋_GB2312" w:eastAsia="仿宋_GB2312" w:hint="eastAsia"/>
          <w:sz w:val="32"/>
          <w:szCs w:val="36"/>
        </w:rPr>
        <w:t>判</w:t>
      </w:r>
      <w:r w:rsidRPr="00A072A7">
        <w:rPr>
          <w:rFonts w:ascii="仿宋_GB2312" w:eastAsia="仿宋_GB2312" w:hint="eastAsia"/>
          <w:sz w:val="32"/>
          <w:szCs w:val="36"/>
        </w:rPr>
        <w:lastRenderedPageBreak/>
        <w:t>责时</w:t>
      </w:r>
      <w:proofErr w:type="gramEnd"/>
      <w:r w:rsidRPr="00A072A7">
        <w:rPr>
          <w:rFonts w:ascii="仿宋_GB2312" w:eastAsia="仿宋_GB2312" w:hint="eastAsia"/>
          <w:sz w:val="32"/>
          <w:szCs w:val="36"/>
        </w:rPr>
        <w:t>根据企业提供的材料并参考接口查询结果（</w:t>
      </w:r>
      <w:proofErr w:type="gramStart"/>
      <w:r w:rsidRPr="00A072A7">
        <w:rPr>
          <w:rFonts w:ascii="仿宋_GB2312" w:eastAsia="仿宋_GB2312" w:hint="eastAsia"/>
          <w:sz w:val="32"/>
          <w:szCs w:val="36"/>
        </w:rPr>
        <w:t>认责人员</w:t>
      </w:r>
      <w:proofErr w:type="gramEnd"/>
      <w:r w:rsidRPr="00A072A7">
        <w:rPr>
          <w:rFonts w:ascii="仿宋_GB2312" w:eastAsia="仿宋_GB2312" w:hint="eastAsia"/>
          <w:sz w:val="32"/>
          <w:szCs w:val="36"/>
        </w:rPr>
        <w:t>需将核查时间设置为关停时间之后1天）进行判责，如果：</w:t>
      </w:r>
    </w:p>
    <w:p w14:paraId="2A4E98BE" w14:textId="6F90A4DF" w:rsidR="001A49A4" w:rsidRPr="00A072A7" w:rsidRDefault="001A49A4" w:rsidP="001A49A4">
      <w:pPr>
        <w:rPr>
          <w:rFonts w:ascii="仿宋_GB2312" w:eastAsia="仿宋_GB2312" w:hint="eastAsia"/>
          <w:sz w:val="32"/>
          <w:szCs w:val="36"/>
        </w:rPr>
      </w:pPr>
      <w:r w:rsidRPr="00A072A7">
        <w:rPr>
          <w:rFonts w:ascii="仿宋_GB2312" w:eastAsia="仿宋_GB2312" w:hint="eastAsia"/>
          <w:sz w:val="32"/>
          <w:szCs w:val="36"/>
        </w:rPr>
        <w:t>（1）</w:t>
      </w:r>
      <w:proofErr w:type="gramStart"/>
      <w:r w:rsidRPr="00A072A7">
        <w:rPr>
          <w:rFonts w:ascii="仿宋_GB2312" w:eastAsia="仿宋_GB2312" w:hint="eastAsia"/>
          <w:sz w:val="32"/>
          <w:szCs w:val="36"/>
        </w:rPr>
        <w:t>符合断卡要求</w:t>
      </w:r>
      <w:proofErr w:type="gramEnd"/>
      <w:r w:rsidRPr="00A072A7">
        <w:rPr>
          <w:rFonts w:ascii="仿宋_GB2312" w:eastAsia="仿宋_GB2312" w:hint="eastAsia"/>
          <w:sz w:val="32"/>
          <w:szCs w:val="36"/>
        </w:rPr>
        <w:t>——未发现有责</w:t>
      </w:r>
    </w:p>
    <w:p w14:paraId="24466D79" w14:textId="1956B6BD" w:rsidR="001A49A4" w:rsidRPr="00A072A7" w:rsidRDefault="001A49A4" w:rsidP="001A49A4">
      <w:pPr>
        <w:rPr>
          <w:rFonts w:ascii="仿宋_GB2312" w:eastAsia="仿宋_GB2312" w:hint="eastAsia"/>
          <w:sz w:val="32"/>
          <w:szCs w:val="36"/>
        </w:rPr>
      </w:pPr>
      <w:r w:rsidRPr="00A072A7">
        <w:rPr>
          <w:rFonts w:ascii="仿宋_GB2312" w:eastAsia="仿宋_GB2312" w:hint="eastAsia"/>
          <w:sz w:val="32"/>
          <w:szCs w:val="36"/>
        </w:rPr>
        <w:t>（2）不</w:t>
      </w:r>
      <w:proofErr w:type="gramStart"/>
      <w:r w:rsidRPr="00A072A7">
        <w:rPr>
          <w:rFonts w:ascii="仿宋_GB2312" w:eastAsia="仿宋_GB2312" w:hint="eastAsia"/>
          <w:sz w:val="32"/>
          <w:szCs w:val="36"/>
        </w:rPr>
        <w:t>符合断卡要求</w:t>
      </w:r>
      <w:proofErr w:type="gramEnd"/>
      <w:r w:rsidRPr="00A072A7">
        <w:rPr>
          <w:rFonts w:ascii="仿宋_GB2312" w:eastAsia="仿宋_GB2312" w:hint="eastAsia"/>
          <w:sz w:val="32"/>
          <w:szCs w:val="36"/>
        </w:rPr>
        <w:t>或查无记录，短信通知在前后关停的——未发现有责</w:t>
      </w:r>
    </w:p>
    <w:p w14:paraId="3CE28CB4" w14:textId="4313C71A" w:rsidR="001A49A4" w:rsidRPr="00A072A7" w:rsidRDefault="001A49A4" w:rsidP="001A49A4">
      <w:pPr>
        <w:rPr>
          <w:rFonts w:ascii="仿宋_GB2312" w:eastAsia="仿宋_GB2312" w:hint="eastAsia"/>
          <w:sz w:val="32"/>
          <w:szCs w:val="36"/>
        </w:rPr>
      </w:pPr>
      <w:r w:rsidRPr="00A072A7">
        <w:rPr>
          <w:rFonts w:ascii="仿宋_GB2312" w:eastAsia="仿宋_GB2312" w:hint="eastAsia"/>
          <w:sz w:val="32"/>
          <w:szCs w:val="36"/>
        </w:rPr>
        <w:t>（3）不</w:t>
      </w:r>
      <w:proofErr w:type="gramStart"/>
      <w:r w:rsidRPr="00A072A7">
        <w:rPr>
          <w:rFonts w:ascii="仿宋_GB2312" w:eastAsia="仿宋_GB2312" w:hint="eastAsia"/>
          <w:sz w:val="32"/>
          <w:szCs w:val="36"/>
        </w:rPr>
        <w:t>符合断卡要求</w:t>
      </w:r>
      <w:proofErr w:type="gramEnd"/>
      <w:r w:rsidRPr="00A072A7">
        <w:rPr>
          <w:rFonts w:ascii="仿宋_GB2312" w:eastAsia="仿宋_GB2312" w:hint="eastAsia"/>
          <w:sz w:val="32"/>
          <w:szCs w:val="36"/>
        </w:rPr>
        <w:t>或查无记录，无短信或短信和关停时间顺序不对的——有责</w:t>
      </w:r>
    </w:p>
    <w:p w14:paraId="5A3CB5BF" w14:textId="77777777" w:rsidR="001A49A4" w:rsidRPr="00A072A7" w:rsidRDefault="001A49A4" w:rsidP="001A49A4">
      <w:pPr>
        <w:ind w:firstLineChars="200" w:firstLine="640"/>
        <w:rPr>
          <w:rFonts w:ascii="仿宋_GB2312" w:eastAsia="仿宋_GB2312" w:hint="eastAsia"/>
          <w:sz w:val="32"/>
          <w:szCs w:val="36"/>
        </w:rPr>
      </w:pPr>
      <w:r w:rsidRPr="00A072A7">
        <w:rPr>
          <w:rFonts w:ascii="仿宋_GB2312" w:eastAsia="仿宋_GB2312" w:hint="eastAsia"/>
          <w:sz w:val="32"/>
          <w:szCs w:val="36"/>
        </w:rPr>
        <w:t>3、对于公安要求关停的，不需关注申诉时间和关停时间，如果接口查询结果为“属于涉案号码”，企业在定责报告中只需提供关停时间和关停原因的文字说明；如果接口查询结果为“查无记录”，企业在定责报告中还需提供地市级以上公安的关停函。</w:t>
      </w:r>
    </w:p>
    <w:p w14:paraId="51D243FA" w14:textId="661550DA" w:rsidR="002E5A0B" w:rsidRPr="00A072A7" w:rsidRDefault="001A49A4" w:rsidP="001A49A4">
      <w:pPr>
        <w:ind w:firstLineChars="200" w:firstLine="640"/>
        <w:rPr>
          <w:rFonts w:ascii="仿宋_GB2312" w:eastAsia="仿宋_GB2312" w:hint="eastAsia"/>
          <w:sz w:val="32"/>
          <w:szCs w:val="36"/>
        </w:rPr>
      </w:pPr>
      <w:r w:rsidRPr="00A072A7">
        <w:rPr>
          <w:rFonts w:ascii="仿宋_GB2312" w:eastAsia="仿宋_GB2312" w:hint="eastAsia"/>
          <w:sz w:val="32"/>
          <w:szCs w:val="36"/>
        </w:rPr>
        <w:t>4、对于其他原因导致的关停，按照原有要求提供定责报告和证明材料。</w:t>
      </w:r>
    </w:p>
    <w:sectPr w:rsidR="002E5A0B" w:rsidRPr="00A07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D875F" w14:textId="77777777" w:rsidR="00DA3EDA" w:rsidRDefault="00DA3EDA" w:rsidP="001A49A4">
      <w:pPr>
        <w:rPr>
          <w:rFonts w:hint="eastAsia"/>
        </w:rPr>
      </w:pPr>
      <w:r>
        <w:separator/>
      </w:r>
    </w:p>
  </w:endnote>
  <w:endnote w:type="continuationSeparator" w:id="0">
    <w:p w14:paraId="59ADCBD4" w14:textId="77777777" w:rsidR="00DA3EDA" w:rsidRDefault="00DA3EDA" w:rsidP="001A49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4D774" w14:textId="77777777" w:rsidR="00DA3EDA" w:rsidRDefault="00DA3EDA" w:rsidP="001A49A4">
      <w:pPr>
        <w:rPr>
          <w:rFonts w:hint="eastAsia"/>
        </w:rPr>
      </w:pPr>
      <w:r>
        <w:separator/>
      </w:r>
    </w:p>
  </w:footnote>
  <w:footnote w:type="continuationSeparator" w:id="0">
    <w:p w14:paraId="336C6DB0" w14:textId="77777777" w:rsidR="00DA3EDA" w:rsidRDefault="00DA3EDA" w:rsidP="001A49A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BB4"/>
    <w:rsid w:val="001A49A4"/>
    <w:rsid w:val="002E5A0B"/>
    <w:rsid w:val="00866BB4"/>
    <w:rsid w:val="00922081"/>
    <w:rsid w:val="00A072A7"/>
    <w:rsid w:val="00CF5AD7"/>
    <w:rsid w:val="00DA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A047D"/>
  <w15:chartTrackingRefBased/>
  <w15:docId w15:val="{91E97445-2EF2-4D2D-AA86-4EADFA48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B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B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6B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6B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6BB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6BB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6BB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6BB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6B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6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6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6B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6BB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6B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6B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6B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6B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6B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6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6B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6B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6B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6B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6B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6B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6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6B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6BB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A49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A49A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A4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A49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 luo</dc:creator>
  <cp:keywords/>
  <dc:description/>
  <cp:lastModifiedBy>mandi luo</cp:lastModifiedBy>
  <cp:revision>3</cp:revision>
  <dcterms:created xsi:type="dcterms:W3CDTF">2025-03-10T06:45:00Z</dcterms:created>
  <dcterms:modified xsi:type="dcterms:W3CDTF">2025-03-10T06:48:00Z</dcterms:modified>
</cp:coreProperties>
</file>