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CAC661">
      <w:pPr>
        <w:ind w:firstLine="0" w:firstLineChars="0"/>
        <w:jc w:val="center"/>
        <w:rPr>
          <w:rFonts w:ascii="华文中宋" w:hAnsi="华文中宋" w:eastAsia="华文中宋"/>
          <w:sz w:val="40"/>
          <w:szCs w:val="40"/>
        </w:rPr>
      </w:pPr>
      <w:bookmarkStart w:id="0" w:name="_GoBack"/>
      <w:bookmarkEnd w:id="0"/>
      <w:r>
        <w:rPr>
          <w:rFonts w:hint="eastAsia" w:ascii="华文中宋" w:hAnsi="华文中宋" w:eastAsia="华文中宋"/>
          <w:sz w:val="40"/>
          <w:szCs w:val="40"/>
        </w:rPr>
        <w:t>用户申诉责任认定工作机制（试行）</w:t>
      </w:r>
    </w:p>
    <w:p w14:paraId="346B0A7C">
      <w:pPr>
        <w:ind w:firstLine="0" w:firstLineChars="0"/>
        <w:jc w:val="center"/>
        <w:rPr>
          <w:rFonts w:ascii="华文中宋" w:hAnsi="华文中宋" w:eastAsia="华文中宋"/>
          <w:sz w:val="36"/>
          <w:szCs w:val="36"/>
        </w:rPr>
      </w:pPr>
    </w:p>
    <w:p w14:paraId="20AE614C">
      <w:pPr>
        <w:ind w:firstLine="640"/>
        <w:rPr>
          <w:rFonts w:hint="eastAsia"/>
        </w:rPr>
      </w:pPr>
      <w:r>
        <w:rPr>
          <w:rFonts w:hint="eastAsia"/>
        </w:rPr>
        <w:t>为加强电信服务监督管理，督促各基础电信企业深化源头治理，切实规范企业经营服务行为，现决定从2024 年开始全面试行用户申诉责任认定，相关工作机制如下。</w:t>
      </w:r>
    </w:p>
    <w:p w14:paraId="5CD76B50">
      <w:pPr>
        <w:ind w:firstLine="640"/>
        <w:outlineLvl w:val="0"/>
        <w:rPr>
          <w:rFonts w:hint="eastAsia" w:ascii="黑体" w:hAnsi="黑体" w:eastAsia="黑体"/>
        </w:rPr>
      </w:pPr>
      <w:r>
        <w:rPr>
          <w:rFonts w:hint="eastAsia" w:ascii="黑体" w:hAnsi="黑体" w:eastAsia="黑体"/>
        </w:rPr>
        <w:t>一、认定范围</w:t>
      </w:r>
    </w:p>
    <w:p w14:paraId="4F3CB993">
      <w:pPr>
        <w:ind w:firstLine="640"/>
        <w:rPr>
          <w:rFonts w:hint="eastAsia"/>
        </w:rPr>
      </w:pPr>
      <w:r>
        <w:rPr>
          <w:rFonts w:hint="eastAsia"/>
        </w:rPr>
        <w:t>根据《电信用户申诉处理办法》符合条件的有效用户申诉（包括正式受理和5个工作日内和解撤诉的）。</w:t>
      </w:r>
    </w:p>
    <w:p w14:paraId="67A80A40">
      <w:pPr>
        <w:ind w:firstLine="640"/>
        <w:outlineLvl w:val="0"/>
        <w:rPr>
          <w:rFonts w:hint="eastAsia" w:ascii="黑体" w:hAnsi="黑体" w:eastAsia="黑体"/>
        </w:rPr>
      </w:pPr>
      <w:r>
        <w:rPr>
          <w:rFonts w:hint="eastAsia" w:ascii="黑体" w:hAnsi="黑体" w:eastAsia="黑体"/>
        </w:rPr>
        <w:t>二、认定分类</w:t>
      </w:r>
    </w:p>
    <w:p w14:paraId="349E2EE3">
      <w:pPr>
        <w:ind w:firstLine="640"/>
        <w:rPr>
          <w:rFonts w:hint="eastAsia"/>
        </w:rPr>
      </w:pPr>
      <w:r>
        <w:rPr>
          <w:rFonts w:hint="eastAsia"/>
        </w:rPr>
        <w:t>申诉责任认定分为</w:t>
      </w:r>
      <w:r>
        <w:rPr>
          <w:rFonts w:hint="eastAsia" w:ascii="黑体" w:hAnsi="黑体" w:eastAsia="黑体"/>
        </w:rPr>
        <w:t>有责、未发现有责</w:t>
      </w:r>
      <w:r>
        <w:rPr>
          <w:rFonts w:hint="eastAsia"/>
        </w:rPr>
        <w:t>两类。根据责任认定标准中审核要素和企业提交证据材料等，认定企业是否明确违反法律法规及相关政策文件规定。</w:t>
      </w:r>
    </w:p>
    <w:p w14:paraId="33799B0C">
      <w:pPr>
        <w:ind w:firstLine="640"/>
        <w:outlineLvl w:val="0"/>
        <w:rPr>
          <w:rFonts w:hint="eastAsia" w:ascii="黑体" w:hAnsi="黑体" w:eastAsia="黑体"/>
        </w:rPr>
      </w:pPr>
      <w:r>
        <w:rPr>
          <w:rFonts w:hint="eastAsia" w:ascii="黑体" w:hAnsi="黑体" w:eastAsia="黑体"/>
        </w:rPr>
        <w:t>三、工作流程</w:t>
      </w:r>
    </w:p>
    <w:p w14:paraId="5B3DFA5E">
      <w:pPr>
        <w:ind w:firstLine="643"/>
        <w:outlineLvl w:val="1"/>
        <w:rPr>
          <w:rFonts w:hint="eastAsia" w:ascii="楷体_GB2312" w:eastAsia="楷体_GB2312"/>
          <w:b/>
          <w:bCs/>
        </w:rPr>
      </w:pPr>
      <w:r>
        <w:rPr>
          <w:rFonts w:hint="eastAsia" w:ascii="楷体_GB2312" w:eastAsia="楷体_GB2312"/>
          <w:b/>
          <w:bCs/>
        </w:rPr>
        <w:t>（一）申诉办理和责任初判</w:t>
      </w:r>
    </w:p>
    <w:p w14:paraId="00487D15">
      <w:pPr>
        <w:ind w:firstLine="640"/>
        <w:rPr>
          <w:rFonts w:hint="eastAsia"/>
        </w:rPr>
      </w:pPr>
      <w:r>
        <w:rPr>
          <w:rFonts w:hint="eastAsia"/>
        </w:rPr>
        <w:t>各地申诉中心按照《电信用户申诉处理办法》对属地的用户申诉进行办理，各企业将相关情况说明和证据材料上传至电信服务综合管理平台，由本企业集团总部组织进行责任初判，期间企业有一次材料补齐的机会，相关材料应客观、真实、充分、全面。各企业应组建专门判责团队，判责人员应实名上岗，具备相关工作经验并能长期稳定在岗，在申诉办理完成前（最长30天，和解撤诉的在 15 天内）完成责任初判。对于初判为有责的，应说明具体违规事项和违反的法律法规或政策要求；涉及代理商及合作商的违规问题，由相关业务承接企业承担责任。</w:t>
      </w:r>
    </w:p>
    <w:p w14:paraId="77F34001">
      <w:pPr>
        <w:ind w:firstLine="643"/>
        <w:outlineLvl w:val="1"/>
        <w:rPr>
          <w:rFonts w:hint="eastAsia" w:ascii="楷体_GB2312" w:eastAsia="楷体_GB2312"/>
          <w:b/>
          <w:bCs/>
        </w:rPr>
      </w:pPr>
      <w:r>
        <w:rPr>
          <w:rFonts w:hint="eastAsia" w:ascii="楷体_GB2312" w:eastAsia="楷体_GB2312"/>
          <w:b/>
          <w:bCs/>
        </w:rPr>
        <w:t>（二）申诉抽查和责任认定</w:t>
      </w:r>
    </w:p>
    <w:p w14:paraId="49EB5B1A">
      <w:pPr>
        <w:ind w:firstLine="640"/>
        <w:rPr>
          <w:rFonts w:hint="eastAsia"/>
        </w:rPr>
      </w:pPr>
      <w:r>
        <w:rPr>
          <w:rFonts w:hint="eastAsia"/>
        </w:rPr>
        <w:t>电信服务综合管理平台根据认定范围，每月按天对全国各省初判未发现有责的用户申诉按10%的基准比例随机抽查，由属地通信管理局进行责任认定（有条件的通信管理局可提高抽查比例）。通信管理局对于认定为有责的，说明理由和依据，并于7天内完成提交。</w:t>
      </w:r>
    </w:p>
    <w:p w14:paraId="6512DC85">
      <w:pPr>
        <w:ind w:firstLine="643"/>
        <w:outlineLvl w:val="1"/>
        <w:rPr>
          <w:rFonts w:hint="eastAsia" w:ascii="楷体_GB2312" w:eastAsia="楷体_GB2312"/>
          <w:b/>
          <w:bCs/>
        </w:rPr>
      </w:pPr>
      <w:r>
        <w:rPr>
          <w:rFonts w:hint="eastAsia" w:ascii="楷体_GB2312" w:eastAsia="楷体_GB2312"/>
          <w:b/>
          <w:bCs/>
        </w:rPr>
        <w:t>（三）复核和审定</w:t>
      </w:r>
    </w:p>
    <w:p w14:paraId="1FA2BF9F">
      <w:pPr>
        <w:ind w:firstLine="640"/>
        <w:rPr>
          <w:rFonts w:hint="eastAsia"/>
        </w:rPr>
      </w:pPr>
      <w:r>
        <w:rPr>
          <w:rFonts w:hint="eastAsia"/>
        </w:rPr>
        <w:t>部信息通信管理局组织部申诉中心、中国信通院专家成立专班，对各地通信管理局提交的认定结果进行复核，以确保标准尺度统一。对于发现认定结果不准确的，由专班提出改正意见并说明理由。专班在 21 天内完成复核，提交部信息通信管理局审定。审定结果向各通信管理局、各企业集团通报。</w:t>
      </w:r>
    </w:p>
    <w:p w14:paraId="419E006B">
      <w:pPr>
        <w:ind w:firstLine="643"/>
        <w:outlineLvl w:val="1"/>
        <w:rPr>
          <w:rFonts w:hint="eastAsia" w:ascii="楷体_GB2312" w:eastAsia="楷体_GB2312"/>
          <w:b/>
          <w:bCs/>
        </w:rPr>
      </w:pPr>
      <w:r>
        <w:rPr>
          <w:rFonts w:hint="eastAsia" w:ascii="楷体_GB2312" w:eastAsia="楷体_GB2312"/>
          <w:b/>
          <w:bCs/>
        </w:rPr>
        <w:t>（四）统计和通报</w:t>
      </w:r>
    </w:p>
    <w:p w14:paraId="4128DAEE">
      <w:pPr>
        <w:ind w:firstLine="640"/>
        <w:rPr>
          <w:iCs/>
          <w:sz w:val="36"/>
          <w:szCs w:val="24"/>
        </w:rPr>
      </w:pPr>
      <w:r>
        <w:rPr>
          <w:rFonts w:hint="eastAsia"/>
        </w:rPr>
        <w:t>按照申诉统计节点，按月统计各企业用户申诉责任认定情况。企业初判为有责的申诉量为A，属地通信管理局认定有责的申诉量为B，工信部审定的新增有责申诉量为C，则企业该月的最终有责申诉量</w:t>
      </w:r>
      <m:oMath>
        <m:r>
          <m:rPr>
            <m:sty m:val="p"/>
          </m:rPr>
          <w:rPr>
            <w:rFonts w:ascii="Cambria Math" w:hAnsi="Cambria Math" w:eastAsia="宋体" w:cs="Times New Roman"/>
            <w:sz w:val="36"/>
            <w:szCs w:val="24"/>
          </w:rPr>
          <m:t>S=A+</m:t>
        </m:r>
        <m:f>
          <m:fPr>
            <m:ctrlPr>
              <w:rPr>
                <w:rFonts w:ascii="Cambria Math" w:hAnsi="Cambria Math" w:eastAsia="宋体" w:cs="Times New Roman"/>
                <w:iCs/>
                <w:sz w:val="36"/>
                <w:szCs w:val="24"/>
              </w:rPr>
            </m:ctrlPr>
          </m:fPr>
          <m:num>
            <m:r>
              <m:rPr>
                <m:sty m:val="p"/>
              </m:rPr>
              <w:rPr>
                <w:rFonts w:ascii="Cambria Math" w:hAnsi="Cambria Math" w:eastAsia="宋体" w:cs="Times New Roman"/>
                <w:sz w:val="36"/>
                <w:szCs w:val="24"/>
              </w:rPr>
              <m:t>B+1.5C</m:t>
            </m:r>
            <m:ctrlPr>
              <w:rPr>
                <w:rFonts w:ascii="Cambria Math" w:hAnsi="Cambria Math" w:eastAsia="宋体" w:cs="Times New Roman"/>
                <w:iCs/>
                <w:sz w:val="36"/>
                <w:szCs w:val="24"/>
              </w:rPr>
            </m:ctrlPr>
          </m:num>
          <m:den>
            <m:r>
              <m:rPr>
                <m:sty m:val="p"/>
              </m:rPr>
              <w:rPr>
                <w:rFonts w:ascii="Cambria Math" w:hAnsi="Cambria Math" w:eastAsia="宋体" w:cs="Times New Roman"/>
                <w:sz w:val="36"/>
                <w:szCs w:val="24"/>
              </w:rPr>
              <m:t>抽查比例</m:t>
            </m:r>
            <m:ctrlPr>
              <w:rPr>
                <w:rFonts w:ascii="Cambria Math" w:hAnsi="Cambria Math" w:eastAsia="宋体" w:cs="Times New Roman"/>
                <w:iCs/>
                <w:sz w:val="36"/>
                <w:szCs w:val="24"/>
              </w:rPr>
            </m:ctrlPr>
          </m:den>
        </m:f>
      </m:oMath>
      <w:r>
        <w:rPr>
          <w:rFonts w:hint="eastAsia"/>
          <w:iCs/>
          <w:sz w:val="36"/>
          <w:szCs w:val="24"/>
        </w:rPr>
        <w:t>，</w:t>
      </w:r>
      <w:r>
        <w:rPr>
          <w:rFonts w:hint="eastAsia"/>
        </w:rPr>
        <w:t>进而得出百万用户有责申诉率。</w:t>
      </w:r>
    </w:p>
    <w:p w14:paraId="6E21EAE5">
      <w:pPr>
        <w:ind w:firstLine="640"/>
        <w:rPr>
          <w:rFonts w:hint="eastAsia" w:cs="Times New Roman"/>
          <w:iCs/>
        </w:rPr>
      </w:pPr>
      <w:r>
        <w:rPr>
          <w:rFonts w:hint="eastAsia" w:cs="Times New Roman"/>
          <w:iCs/>
        </w:rPr>
        <w:t>电信服务综合管理平台对各企业、各省申诉定责情况进行实时统计和展示。对于发现弄虚作假、捏造证据或者串通、操纵，影响申诉定责客观公正性的行为，对相关企业予以考核扣分，严肃追究相关人员责任，并全行业通报。</w:t>
      </w:r>
    </w:p>
    <w:p w14:paraId="263D3593">
      <w:pPr>
        <w:ind w:firstLine="643"/>
        <w:outlineLvl w:val="1"/>
        <w:rPr>
          <w:rFonts w:hint="eastAsia" w:ascii="楷体_GB2312" w:eastAsia="楷体_GB2312"/>
          <w:b/>
          <w:bCs/>
        </w:rPr>
      </w:pPr>
      <w:r>
        <w:rPr>
          <w:rFonts w:hint="eastAsia" w:ascii="楷体_GB2312" w:eastAsia="楷体_GB2312"/>
          <w:b/>
          <w:bCs/>
        </w:rPr>
        <w:t>（五）监督问责</w:t>
      </w:r>
    </w:p>
    <w:p w14:paraId="153D0EEA">
      <w:pPr>
        <w:ind w:firstLine="640"/>
        <w:rPr>
          <w:rFonts w:hint="eastAsia" w:cs="Times New Roman"/>
          <w:iCs/>
        </w:rPr>
      </w:pPr>
      <w:r>
        <w:rPr>
          <w:rFonts w:hint="eastAsia" w:cs="Times New Roman"/>
          <w:iCs/>
        </w:rPr>
        <w:t>电信服务综合管理平台实时统计各集团公司、省公司责任认定数据，并纳入对企业行风建设和纠风工作考核。部信息通信管理局和各地通信管理局依法依规加强对企业违规问题的监督问责。对于问题突出、屡禁不绝、性质严重、影响恶劣的用户申诉案例予以在线督办，责令相关企业按照集团公司印发的问责标准进行追责惩戒，相关企业在按要求问责处理完成后将有关处理文件上传至平台，实现监督闭环有关典型案例在平台上面向全行业警示通报。</w:t>
      </w:r>
    </w:p>
    <w:p w14:paraId="6271D78F">
      <w:pPr>
        <w:ind w:firstLine="640"/>
        <w:outlineLvl w:val="0"/>
        <w:rPr>
          <w:rFonts w:hint="eastAsia" w:ascii="黑体" w:hAnsi="黑体" w:eastAsia="黑体"/>
        </w:rPr>
      </w:pPr>
      <w:r>
        <w:rPr>
          <w:rFonts w:hint="eastAsia" w:ascii="黑体" w:hAnsi="黑体" w:eastAsia="黑体"/>
        </w:rPr>
        <w:t>四、技术支撑</w:t>
      </w:r>
    </w:p>
    <w:p w14:paraId="6446F49F">
      <w:pPr>
        <w:ind w:firstLine="640"/>
        <w:rPr>
          <w:rFonts w:cs="Times New Roman"/>
          <w:iCs/>
        </w:rPr>
      </w:pPr>
      <w:r>
        <w:rPr>
          <w:rFonts w:hint="eastAsia" w:cs="Times New Roman"/>
          <w:iCs/>
        </w:rPr>
        <w:t>中国信通院做好全国电信服务综合管理平台的建设和运维支撑，实现申诉处理、责任认定、统计分析、监督问责全程在线管理，提高电信服务监管的自动化、精准化水平。</w:t>
      </w:r>
    </w:p>
    <w:p w14:paraId="57B192EA">
      <w:pPr>
        <w:ind w:firstLine="640"/>
        <w:outlineLvl w:val="0"/>
        <w:rPr>
          <w:rFonts w:hint="eastAsia" w:ascii="黑体" w:hAnsi="黑体" w:eastAsia="黑体"/>
        </w:rPr>
      </w:pPr>
      <w:r>
        <w:rPr>
          <w:rFonts w:hint="eastAsia" w:ascii="黑体" w:hAnsi="黑体" w:eastAsia="黑体"/>
        </w:rPr>
        <w:t>五、安全保密</w:t>
      </w:r>
    </w:p>
    <w:p w14:paraId="4293CCE2">
      <w:pPr>
        <w:ind w:firstLine="640"/>
        <w:rPr>
          <w:rFonts w:hint="eastAsia" w:cs="Times New Roman"/>
          <w:iCs/>
        </w:rPr>
      </w:pPr>
      <w:r>
        <w:rPr>
          <w:rFonts w:hint="eastAsia" w:cs="Times New Roman"/>
          <w:iCs/>
        </w:rPr>
        <w:t>各相关单位要做好申诉处理和责任认定过程中的数据安全管理，不得将相关数据、信息透露给非参与用户申诉处理和责任认定工作的人员、部门和单位，或者用于用户申诉处理和责任认定工作之外的用途。有关统计数据按我部和各省通信管理局通报范围管理。中国信通院要加强全国电信服务综合管理平台相关技术防范措施的部署，做好日志记录留存，未经授权不得擅自下载、复制、删改任何相关数据信息确保平台安全稳定运行。</w:t>
      </w:r>
    </w:p>
    <w:p w14:paraId="11EA1874">
      <w:pPr>
        <w:ind w:firstLine="640"/>
        <w:rPr>
          <w:rFonts w:hint="eastAsia" w:cs="Times New Roman"/>
          <w:iCs/>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640"/>
      </w:pPr>
      <w:r>
        <w:separator/>
      </w:r>
    </w:p>
  </w:endnote>
  <w:endnote w:type="continuationSeparator" w:id="1">
    <w:p>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panose1 w:val="02010609030101010101"/>
    <w:charset w:val="86"/>
    <w:family w:val="modern"/>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Cambria Math">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640"/>
      </w:pPr>
      <w:r>
        <w:separator/>
      </w:r>
    </w:p>
  </w:footnote>
  <w:footnote w:type="continuationSeparator" w:id="1">
    <w:p>
      <w:pPr>
        <w:spacing w:line="360" w:lineRule="auto"/>
        <w:ind w:firstLine="64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EE5"/>
    <w:rsid w:val="002C1C4F"/>
    <w:rsid w:val="002E5A0B"/>
    <w:rsid w:val="002F1EE5"/>
    <w:rsid w:val="003C05E2"/>
    <w:rsid w:val="00425DFA"/>
    <w:rsid w:val="0042705A"/>
    <w:rsid w:val="004E7233"/>
    <w:rsid w:val="006E0A96"/>
    <w:rsid w:val="00863BDA"/>
    <w:rsid w:val="009943EC"/>
    <w:rsid w:val="00D84E43"/>
    <w:rsid w:val="18520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仿宋_GB2312" w:cstheme="minorBidi"/>
      <w:kern w:val="2"/>
      <w:sz w:val="32"/>
      <w:szCs w:val="22"/>
      <w:lang w:val="en-US" w:eastAsia="zh-CN" w:bidi="ar-SA"/>
    </w:rPr>
  </w:style>
  <w:style w:type="paragraph" w:styleId="2">
    <w:name w:val="heading 1"/>
    <w:basedOn w:val="1"/>
    <w:next w:val="1"/>
    <w:link w:val="17"/>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9"/>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Cs w:val="32"/>
    </w:rPr>
  </w:style>
  <w:style w:type="paragraph" w:styleId="5">
    <w:name w:val="heading 4"/>
    <w:basedOn w:val="1"/>
    <w:next w:val="1"/>
    <w:link w:val="20"/>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1"/>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2"/>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3"/>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5"/>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6">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36"/>
    <w:unhideWhenUsed/>
    <w:qFormat/>
    <w:uiPriority w:val="99"/>
    <w:pPr>
      <w:tabs>
        <w:tab w:val="center" w:pos="4153"/>
        <w:tab w:val="right" w:pos="8306"/>
      </w:tabs>
      <w:snapToGrid w:val="0"/>
      <w:jc w:val="left"/>
    </w:pPr>
    <w:rPr>
      <w:sz w:val="18"/>
      <w:szCs w:val="18"/>
    </w:rPr>
  </w:style>
  <w:style w:type="paragraph" w:styleId="12">
    <w:name w:val="header"/>
    <w:basedOn w:val="1"/>
    <w:link w:val="35"/>
    <w:unhideWhenUsed/>
    <w:qFormat/>
    <w:uiPriority w:val="99"/>
    <w:pPr>
      <w:tabs>
        <w:tab w:val="center" w:pos="4153"/>
        <w:tab w:val="right" w:pos="8306"/>
      </w:tabs>
      <w:snapToGrid w:val="0"/>
      <w:jc w:val="center"/>
    </w:pPr>
    <w:rPr>
      <w:sz w:val="18"/>
      <w:szCs w:val="18"/>
    </w:rPr>
  </w:style>
  <w:style w:type="paragraph" w:styleId="13">
    <w:name w:val="Subtitle"/>
    <w:basedOn w:val="1"/>
    <w:next w:val="1"/>
    <w:link w:val="27"/>
    <w:qFormat/>
    <w:uiPriority w:val="11"/>
    <w:pPr>
      <w:spacing w:after="160"/>
      <w:ind w:firstLine="200" w:firstLineChars="20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6"/>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customStyle="1" w:styleId="17">
    <w:name w:val="标题 1 字符"/>
    <w:basedOn w:val="16"/>
    <w:link w:val="2"/>
    <w:uiPriority w:val="9"/>
    <w:rPr>
      <w:rFonts w:asciiTheme="majorHAnsi" w:hAnsiTheme="majorHAnsi" w:eastAsiaTheme="majorEastAsia" w:cstheme="majorBidi"/>
      <w:color w:val="104862" w:themeColor="accent1" w:themeShade="BF"/>
      <w:sz w:val="48"/>
      <w:szCs w:val="48"/>
    </w:rPr>
  </w:style>
  <w:style w:type="character" w:customStyle="1" w:styleId="18">
    <w:name w:val="标题 2 字符"/>
    <w:basedOn w:val="16"/>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19">
    <w:name w:val="标题 3 字符"/>
    <w:basedOn w:val="16"/>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标题 4 字符"/>
    <w:basedOn w:val="16"/>
    <w:link w:val="5"/>
    <w:semiHidden/>
    <w:qFormat/>
    <w:uiPriority w:val="9"/>
    <w:rPr>
      <w:rFonts w:cstheme="majorBidi"/>
      <w:color w:val="104862" w:themeColor="accent1" w:themeShade="BF"/>
      <w:sz w:val="28"/>
      <w:szCs w:val="28"/>
    </w:rPr>
  </w:style>
  <w:style w:type="character" w:customStyle="1" w:styleId="21">
    <w:name w:val="标题 5 字符"/>
    <w:basedOn w:val="16"/>
    <w:link w:val="6"/>
    <w:semiHidden/>
    <w:qFormat/>
    <w:uiPriority w:val="9"/>
    <w:rPr>
      <w:rFonts w:cstheme="majorBidi"/>
      <w:color w:val="104862" w:themeColor="accent1" w:themeShade="BF"/>
      <w:sz w:val="24"/>
      <w:szCs w:val="24"/>
    </w:rPr>
  </w:style>
  <w:style w:type="character" w:customStyle="1" w:styleId="22">
    <w:name w:val="标题 6 字符"/>
    <w:basedOn w:val="16"/>
    <w:link w:val="7"/>
    <w:semiHidden/>
    <w:qFormat/>
    <w:uiPriority w:val="9"/>
    <w:rPr>
      <w:rFonts w:cstheme="majorBidi"/>
      <w:b/>
      <w:bCs/>
      <w:color w:val="104862" w:themeColor="accent1" w:themeShade="BF"/>
    </w:rPr>
  </w:style>
  <w:style w:type="character" w:customStyle="1" w:styleId="23">
    <w:name w:val="标题 7 字符"/>
    <w:basedOn w:val="16"/>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标题 8 字符"/>
    <w:basedOn w:val="16"/>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标题 9 字符"/>
    <w:basedOn w:val="16"/>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字符"/>
    <w:basedOn w:val="16"/>
    <w:link w:val="14"/>
    <w:qFormat/>
    <w:uiPriority w:val="10"/>
    <w:rPr>
      <w:rFonts w:asciiTheme="majorHAnsi" w:hAnsiTheme="majorHAnsi" w:eastAsiaTheme="majorEastAsia" w:cstheme="majorBidi"/>
      <w:spacing w:val="-10"/>
      <w:kern w:val="28"/>
      <w:sz w:val="56"/>
      <w:szCs w:val="56"/>
    </w:rPr>
  </w:style>
  <w:style w:type="character" w:customStyle="1" w:styleId="27">
    <w:name w:val="副标题 字符"/>
    <w:basedOn w:val="16"/>
    <w:link w:val="13"/>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6"/>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6"/>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明显引用 字符"/>
    <w:basedOn w:val="16"/>
    <w:link w:val="32"/>
    <w:qFormat/>
    <w:uiPriority w:val="30"/>
    <w:rPr>
      <w:i/>
      <w:iCs/>
      <w:color w:val="104862" w:themeColor="accent1" w:themeShade="BF"/>
    </w:rPr>
  </w:style>
  <w:style w:type="character" w:customStyle="1" w:styleId="34">
    <w:name w:val="Intense Reference"/>
    <w:basedOn w:val="16"/>
    <w:qFormat/>
    <w:uiPriority w:val="32"/>
    <w:rPr>
      <w:b/>
      <w:bCs/>
      <w:smallCaps/>
      <w:color w:val="104862" w:themeColor="accent1" w:themeShade="BF"/>
      <w:spacing w:val="5"/>
    </w:rPr>
  </w:style>
  <w:style w:type="character" w:customStyle="1" w:styleId="35">
    <w:name w:val="页眉 字符"/>
    <w:basedOn w:val="16"/>
    <w:link w:val="12"/>
    <w:uiPriority w:val="99"/>
    <w:rPr>
      <w:sz w:val="18"/>
      <w:szCs w:val="18"/>
    </w:rPr>
  </w:style>
  <w:style w:type="character" w:customStyle="1" w:styleId="36">
    <w:name w:val="页脚 字符"/>
    <w:basedOn w:val="16"/>
    <w:link w:val="11"/>
    <w:qFormat/>
    <w:uiPriority w:val="99"/>
    <w:rPr>
      <w:sz w:val="18"/>
      <w:szCs w:val="18"/>
    </w:rPr>
  </w:style>
  <w:style w:type="character" w:styleId="37">
    <w:name w:val="Placeholder Text"/>
    <w:basedOn w:val="16"/>
    <w:semiHidden/>
    <w:qFormat/>
    <w:uiPriority w:val="99"/>
    <w:rPr>
      <w:color w:val="66666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1676</Words>
  <Characters>1709</Characters>
  <Lines>12</Lines>
  <Paragraphs>3</Paragraphs>
  <TotalTime>55</TotalTime>
  <ScaleCrop>false</ScaleCrop>
  <LinksUpToDate>false</LinksUpToDate>
  <CharactersWithSpaces>1716</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2024-01-03T03:17:00Z</dcterms:created>
  <dc:creator>mandi luo</dc:creator>
  <cp:lastModifiedBy>luo</cp:lastModifiedBy>
  <dcterms:modified xsi:type="dcterms:W3CDTF">2025-05-23T08:30:54Z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eyJoZGlkIjoiMzEwNTM5NzYwMDRjMzkwZTVkZjY2ODkwMGIxNGU0OTUiLCJ1c2VySWQiOiI1NjU3MzQ1NjYifQ==</vt:lpwstr>
  </property>
  <property fmtid="{D5CDD505-2E9C-101B-9397-08002B2CF9AE}" pid="3" name="KSOProductBuildVer">
    <vt:lpwstr>2052-12.1.0.21171</vt:lpwstr>
  </property>
  <property fmtid="{D5CDD505-2E9C-101B-9397-08002B2CF9AE}" pid="4" name="ICV">
    <vt:lpwstr>F928B563E0A543E195ADE539F0C1B87B_12</vt:lpwstr>
  </property>
</Properties>
</file>