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03153" w14:textId="77777777" w:rsidR="00780C1D" w:rsidRPr="00B959DA" w:rsidRDefault="00920A7F" w:rsidP="00B959DA">
      <w:pPr>
        <w:spacing w:after="0" w:line="312" w:lineRule="auto"/>
        <w:jc w:val="center"/>
        <w:rPr>
          <w:rFonts w:ascii="黑体" w:eastAsia="黑体" w:hAnsi="黑体" w:hint="eastAsia"/>
          <w:sz w:val="36"/>
          <w:szCs w:val="36"/>
        </w:rPr>
      </w:pPr>
      <w:r w:rsidRPr="00B959DA">
        <w:rPr>
          <w:rFonts w:ascii="黑体" w:eastAsia="黑体" w:hAnsi="黑体" w:hint="eastAsia"/>
          <w:sz w:val="36"/>
          <w:szCs w:val="36"/>
        </w:rPr>
        <w:t>金融关联类业务用户申诉认责标准及处置流程</w:t>
      </w:r>
    </w:p>
    <w:p w14:paraId="639630C1" w14:textId="77777777" w:rsidR="00780C1D" w:rsidRPr="00B959DA" w:rsidRDefault="00780C1D" w:rsidP="00B959DA">
      <w:pPr>
        <w:spacing w:after="0" w:line="312" w:lineRule="auto"/>
        <w:jc w:val="both"/>
      </w:pPr>
    </w:p>
    <w:p w14:paraId="13D95A85" w14:textId="2202EF1B" w:rsidR="00780C1D" w:rsidRPr="00B959DA" w:rsidRDefault="00920A7F" w:rsidP="00B959DA">
      <w:pPr>
        <w:spacing w:after="0" w:line="312" w:lineRule="auto"/>
        <w:jc w:val="both"/>
        <w:rPr>
          <w:rFonts w:ascii="仿宋_GB2312" w:eastAsia="仿宋_GB2312" w:hint="eastAsia"/>
        </w:rPr>
      </w:pPr>
      <w:r w:rsidRPr="00B959DA">
        <w:rPr>
          <w:rFonts w:ascii="仿宋_GB2312" w:eastAsia="仿宋_GB2312" w:hint="eastAsia"/>
          <w:sz w:val="32"/>
          <w:szCs w:val="32"/>
        </w:rPr>
        <w:t>各省、自治区、直辖市申诉受理中心，中国电信集团有限公司、中国移动通信集团有限公司、中国联合网络通信集团有限公司、中国广播电视网络集团有限公司：</w:t>
      </w:r>
    </w:p>
    <w:p w14:paraId="14726434" w14:textId="7301C042"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为践行以人民为中心的发展思想，促进各基础电信企业规范发展金融关联类业务，维护用户合法权益，结合各基础电信企业集团总部提出的整改措施，经商各基础电信企业集团总部并达成一致，制定金融关联类业务用户申诉认责标准及处置流程，请各相关单位遵照执行。</w:t>
      </w:r>
    </w:p>
    <w:p w14:paraId="037AE819" w14:textId="77777777" w:rsidR="00780C1D" w:rsidRPr="00B959DA" w:rsidRDefault="00920A7F" w:rsidP="00B959DA">
      <w:pPr>
        <w:spacing w:after="0" w:line="312" w:lineRule="auto"/>
        <w:ind w:firstLineChars="200" w:firstLine="640"/>
        <w:jc w:val="both"/>
        <w:rPr>
          <w:rFonts w:ascii="黑体" w:eastAsia="黑体" w:hAnsi="黑体" w:hint="eastAsia"/>
          <w:sz w:val="32"/>
          <w:szCs w:val="32"/>
        </w:rPr>
      </w:pPr>
      <w:r w:rsidRPr="00B959DA">
        <w:rPr>
          <w:rFonts w:ascii="黑体" w:eastAsia="黑体" w:hAnsi="黑体" w:hint="eastAsia"/>
          <w:sz w:val="32"/>
          <w:szCs w:val="32"/>
        </w:rPr>
        <w:t>一、认责范围</w:t>
      </w:r>
    </w:p>
    <w:p w14:paraId="1D26CC51" w14:textId="25399DA9"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符合《电信用户申诉处理办法》规定条件的用户申诉(包括正式受理和5个工作日和解的)。</w:t>
      </w:r>
    </w:p>
    <w:p w14:paraId="747912F8" w14:textId="77777777" w:rsidR="00780C1D" w:rsidRPr="00B959DA" w:rsidRDefault="00920A7F" w:rsidP="00B959DA">
      <w:pPr>
        <w:spacing w:after="0" w:line="312" w:lineRule="auto"/>
        <w:ind w:firstLineChars="200" w:firstLine="640"/>
        <w:jc w:val="both"/>
        <w:rPr>
          <w:rFonts w:ascii="黑体" w:eastAsia="黑体" w:hAnsi="黑体" w:hint="eastAsia"/>
          <w:sz w:val="32"/>
          <w:szCs w:val="32"/>
        </w:rPr>
      </w:pPr>
      <w:r w:rsidRPr="00B959DA">
        <w:rPr>
          <w:rFonts w:ascii="黑体" w:eastAsia="黑体" w:hAnsi="黑体" w:hint="eastAsia"/>
          <w:sz w:val="32"/>
          <w:szCs w:val="32"/>
        </w:rPr>
        <w:t>二、认责标准及执行</w:t>
      </w:r>
    </w:p>
    <w:p w14:paraId="63D9A23D" w14:textId="2E6235A3"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(一)业务未按规定由集团或省公司进行审批，无审批记录，或不符合“不得影响用户个人征信”的要求</w:t>
      </w:r>
    </w:p>
    <w:p w14:paraId="2F31D89A" w14:textId="08B06E82"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(二)业务内容、资费方案等未进行集中公示，或用户办理的业务内容与公示、宣传不一致</w:t>
      </w:r>
    </w:p>
    <w:p w14:paraId="5548F539" w14:textId="6188A926"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lang w:eastAsia="zh-CN"/>
        </w:rPr>
        <w:t>(三)销售的对象不符合“年龄已满22周岁、未满65</w:t>
      </w:r>
      <w:r w:rsidRPr="00B959DA">
        <w:rPr>
          <w:rFonts w:ascii="仿宋_GB2312" w:eastAsia="仿宋_GB2312" w:hint="eastAsia"/>
          <w:sz w:val="32"/>
          <w:szCs w:val="32"/>
        </w:rPr>
        <w:t>周岁”的要求，或非用户本人办理</w:t>
      </w:r>
    </w:p>
    <w:p w14:paraId="6AF461A6" w14:textId="43B2234D"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(四)捆绑销售的终端设备“未限定在智能手机、路由器等通信终端和智能手表、云电脑、</w:t>
      </w:r>
      <w:r w:rsidRPr="00B959DA">
        <w:rPr>
          <w:rFonts w:ascii="仿宋_GB2312" w:eastAsia="仿宋_GB2312"/>
          <w:sz w:val="32"/>
          <w:szCs w:val="32"/>
        </w:rPr>
        <w:t>VR</w:t>
      </w:r>
      <w:r w:rsidRPr="00B959DA">
        <w:rPr>
          <w:rFonts w:ascii="仿宋_GB2312" w:eastAsia="仿宋_GB2312" w:hint="eastAsia"/>
          <w:sz w:val="32"/>
          <w:szCs w:val="32"/>
        </w:rPr>
        <w:t>等智能家居产品”,或虽符合上述要求，但未入库，未录入串码</w:t>
      </w:r>
    </w:p>
    <w:p w14:paraId="3C530442" w14:textId="583DBCF1"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lastRenderedPageBreak/>
        <w:t>(五)金融关联类业务协议未单独展示和用户签字，或涉及用户责任、限制性条款、金额等关键信息未以粗体、圈示等突出显示</w:t>
      </w:r>
    </w:p>
    <w:p w14:paraId="57D721A1" w14:textId="62FC0C2B"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(六)未提供业务办理告知书(内容涵盖分期金额、分期商品、还款方式、违约责任等关键事项),或无用户手写知悉告知书内容并签字确认的凭证</w:t>
      </w:r>
    </w:p>
    <w:p w14:paraId="73320C87" w14:textId="7A6BB565"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(七)无用户手持终端设备和业务告知书拍照或录像并上传系统的记录</w:t>
      </w:r>
    </w:p>
    <w:p w14:paraId="62179E96" w14:textId="111AD37D"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(八)业务办理人员未获得企业金融关联业务办理的统一资格认证</w:t>
      </w:r>
    </w:p>
    <w:p w14:paraId="3F2BD0F6" w14:textId="4D30162F"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(九)受理门店未设置金融业务专席、统一陈列业务告知书，业务办理渠道商未签订营销承诺书</w:t>
      </w:r>
    </w:p>
    <w:p w14:paraId="0EFC397F" w14:textId="6D34FAAA"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rPr>
        <w:t>(十)非线下办理，相关业务订单数据(合约标识、办理记录)在CRM系统中未全量留存</w:t>
      </w:r>
    </w:p>
    <w:p w14:paraId="7D368597" w14:textId="248141D9" w:rsidR="00780C1D" w:rsidRDefault="00920A7F" w:rsidP="00B959DA">
      <w:pPr>
        <w:spacing w:after="0" w:line="312" w:lineRule="auto"/>
        <w:ind w:firstLineChars="200" w:firstLine="640"/>
        <w:jc w:val="both"/>
        <w:rPr>
          <w:rFonts w:ascii="仿宋_GB2312" w:eastAsia="仿宋_GB2312"/>
          <w:sz w:val="32"/>
          <w:szCs w:val="32"/>
          <w:lang w:eastAsia="zh-CN"/>
        </w:rPr>
      </w:pPr>
      <w:r w:rsidRPr="00B959DA">
        <w:rPr>
          <w:rFonts w:ascii="仿宋_GB2312" w:eastAsia="仿宋_GB2312"/>
          <w:sz w:val="32"/>
          <w:szCs w:val="32"/>
          <w:lang w:eastAsia="zh-CN"/>
        </w:rPr>
        <w:t>(</w:t>
      </w:r>
      <w:r w:rsidRPr="00B959DA">
        <w:rPr>
          <w:rFonts w:ascii="仿宋_GB2312" w:eastAsia="仿宋_GB2312" w:hint="eastAsia"/>
          <w:sz w:val="32"/>
          <w:szCs w:val="32"/>
          <w:lang w:eastAsia="zh-CN"/>
        </w:rPr>
        <w:t>十一</w:t>
      </w:r>
      <w:r w:rsidRPr="00B959DA">
        <w:rPr>
          <w:rFonts w:ascii="仿宋_GB2312" w:eastAsia="仿宋_GB2312"/>
          <w:sz w:val="32"/>
          <w:szCs w:val="32"/>
          <w:lang w:eastAsia="zh-CN"/>
        </w:rPr>
        <w:t>)</w:t>
      </w:r>
      <w:r w:rsidRPr="00B959DA">
        <w:rPr>
          <w:rFonts w:ascii="仿宋_GB2312" w:eastAsia="仿宋_GB2312" w:hint="eastAsia"/>
          <w:sz w:val="32"/>
          <w:szCs w:val="32"/>
          <w:lang w:eastAsia="zh-CN"/>
        </w:rPr>
        <w:t>未履行企业承诺的</w:t>
      </w:r>
      <w:r w:rsidRPr="00B959DA">
        <w:rPr>
          <w:rFonts w:ascii="仿宋_GB2312" w:eastAsia="仿宋_GB2312"/>
          <w:sz w:val="32"/>
          <w:szCs w:val="32"/>
          <w:lang w:eastAsia="zh-CN"/>
        </w:rPr>
        <w:t>“</w:t>
      </w:r>
      <w:r w:rsidRPr="00B959DA">
        <w:rPr>
          <w:rFonts w:ascii="仿宋_GB2312" w:eastAsia="仿宋_GB2312"/>
          <w:sz w:val="32"/>
          <w:szCs w:val="32"/>
          <w:lang w:eastAsia="zh-CN"/>
        </w:rPr>
        <w:t>7</w:t>
      </w:r>
      <w:r w:rsidRPr="00B959DA">
        <w:rPr>
          <w:rFonts w:ascii="仿宋_GB2312" w:eastAsia="仿宋_GB2312" w:hint="eastAsia"/>
          <w:sz w:val="32"/>
          <w:szCs w:val="32"/>
          <w:lang w:eastAsia="zh-CN"/>
        </w:rPr>
        <w:t>天无理由退订</w:t>
      </w:r>
      <w:r w:rsidRPr="00B959DA">
        <w:rPr>
          <w:rFonts w:ascii="仿宋_GB2312" w:eastAsia="仿宋_GB2312"/>
          <w:sz w:val="32"/>
          <w:szCs w:val="32"/>
          <w:lang w:eastAsia="zh-CN"/>
        </w:rPr>
        <w:t>”</w:t>
      </w:r>
      <w:r w:rsidRPr="00B959DA">
        <w:rPr>
          <w:rFonts w:ascii="仿宋_GB2312" w:eastAsia="仿宋_GB2312"/>
          <w:sz w:val="32"/>
          <w:szCs w:val="32"/>
          <w:lang w:eastAsia="zh-CN"/>
        </w:rPr>
        <w:t>(</w:t>
      </w:r>
      <w:r w:rsidRPr="00B959DA">
        <w:rPr>
          <w:rFonts w:ascii="仿宋_GB2312" w:eastAsia="仿宋_GB2312" w:hint="eastAsia"/>
          <w:sz w:val="32"/>
          <w:szCs w:val="32"/>
          <w:lang w:eastAsia="zh-CN"/>
        </w:rPr>
        <w:t>十二</w:t>
      </w:r>
      <w:r w:rsidRPr="00B959DA">
        <w:rPr>
          <w:rFonts w:ascii="仿宋_GB2312" w:eastAsia="仿宋_GB2312"/>
          <w:sz w:val="32"/>
          <w:szCs w:val="32"/>
          <w:lang w:eastAsia="zh-CN"/>
        </w:rPr>
        <w:t>)</w:t>
      </w:r>
      <w:r w:rsidRPr="00B959DA">
        <w:rPr>
          <w:rFonts w:ascii="仿宋_GB2312" w:eastAsia="仿宋_GB2312" w:hint="eastAsia"/>
          <w:sz w:val="32"/>
          <w:szCs w:val="32"/>
          <w:lang w:eastAsia="zh-CN"/>
        </w:rPr>
        <w:t>对用户投诉未及时在</w:t>
      </w:r>
      <w:r w:rsidRPr="00B959DA">
        <w:rPr>
          <w:rFonts w:ascii="仿宋_GB2312" w:eastAsia="仿宋_GB2312"/>
          <w:sz w:val="32"/>
          <w:szCs w:val="32"/>
          <w:lang w:eastAsia="zh-CN"/>
        </w:rPr>
        <w:t>48</w:t>
      </w:r>
      <w:r w:rsidRPr="00B959DA">
        <w:rPr>
          <w:rFonts w:ascii="仿宋_GB2312" w:eastAsia="仿宋_GB2312" w:hint="eastAsia"/>
          <w:sz w:val="32"/>
          <w:szCs w:val="32"/>
          <w:lang w:eastAsia="zh-CN"/>
        </w:rPr>
        <w:t>小时内答复处理</w:t>
      </w:r>
    </w:p>
    <w:p w14:paraId="09DDB2AF" w14:textId="768F9C07" w:rsidR="00780C1D" w:rsidRPr="00B959DA" w:rsidRDefault="00920A7F" w:rsidP="00B959DA">
      <w:pPr>
        <w:spacing w:after="0" w:line="312" w:lineRule="auto"/>
        <w:ind w:firstLineChars="200" w:firstLine="640"/>
        <w:jc w:val="both"/>
        <w:rPr>
          <w:rFonts w:ascii="仿宋_GB2312" w:eastAsia="仿宋_GB2312" w:hint="eastAsia"/>
        </w:rPr>
      </w:pPr>
      <w:r w:rsidRPr="00B959DA">
        <w:rPr>
          <w:rFonts w:ascii="仿宋_GB2312" w:eastAsia="仿宋_GB2312" w:hint="eastAsia"/>
          <w:sz w:val="32"/>
          <w:szCs w:val="32"/>
          <w:lang w:eastAsia="zh-CN"/>
        </w:rPr>
        <w:t>各地申诉中心在责任认定后，务必标注“金融关联业务”字样，并将结果按照现有的用户申诉认责工作机制进行报</w:t>
      </w:r>
      <w:r w:rsidRPr="00B959DA">
        <w:rPr>
          <w:rFonts w:ascii="仿宋_GB2312" w:eastAsia="仿宋_GB2312" w:hint="eastAsia"/>
          <w:sz w:val="32"/>
          <w:szCs w:val="32"/>
        </w:rPr>
        <w:t>送</w:t>
      </w:r>
      <w:r w:rsidR="00DD5AE5">
        <w:rPr>
          <w:rFonts w:ascii="仿宋_GB2312" w:eastAsia="仿宋_GB2312" w:hint="eastAsia"/>
          <w:sz w:val="32"/>
          <w:szCs w:val="32"/>
          <w:lang w:eastAsia="zh-CN"/>
        </w:rPr>
        <w:t>。</w:t>
      </w:r>
      <w:r w:rsidRPr="00B959DA">
        <w:rPr>
          <w:rFonts w:ascii="仿宋_GB2312" w:eastAsia="仿宋_GB2312" w:hint="eastAsia"/>
          <w:sz w:val="32"/>
          <w:szCs w:val="32"/>
        </w:rPr>
        <w:t>部申诉中心及时做好相关数据监测与汇总统计。</w:t>
      </w:r>
    </w:p>
    <w:p w14:paraId="191C8F2F" w14:textId="77777777" w:rsidR="00780C1D" w:rsidRPr="00B959DA" w:rsidRDefault="00920A7F" w:rsidP="00B959DA">
      <w:pPr>
        <w:spacing w:after="0" w:line="312" w:lineRule="auto"/>
        <w:ind w:firstLineChars="200" w:firstLine="640"/>
        <w:jc w:val="both"/>
        <w:rPr>
          <w:rFonts w:ascii="黑体" w:eastAsia="黑体" w:hAnsi="黑体" w:hint="eastAsia"/>
          <w:sz w:val="32"/>
          <w:szCs w:val="32"/>
        </w:rPr>
      </w:pPr>
      <w:r w:rsidRPr="00B959DA">
        <w:rPr>
          <w:rFonts w:ascii="黑体" w:eastAsia="黑体" w:hAnsi="黑体" w:hint="eastAsia"/>
          <w:sz w:val="32"/>
          <w:szCs w:val="32"/>
        </w:rPr>
        <w:t>三、相关指标及处置流程</w:t>
      </w:r>
    </w:p>
    <w:p w14:paraId="619D508F" w14:textId="7E61B9B7" w:rsidR="00780C1D" w:rsidRPr="00B959DA" w:rsidRDefault="00920A7F" w:rsidP="00B959DA">
      <w:pPr>
        <w:spacing w:after="0" w:line="312" w:lineRule="auto"/>
        <w:ind w:firstLineChars="200" w:firstLine="640"/>
        <w:jc w:val="both"/>
        <w:rPr>
          <w:rFonts w:ascii="仿宋_GB2312" w:eastAsia="仿宋_GB2312" w:hint="eastAsia"/>
          <w:sz w:val="32"/>
          <w:szCs w:val="32"/>
        </w:rPr>
      </w:pPr>
      <w:r w:rsidRPr="00B959DA">
        <w:rPr>
          <w:rFonts w:ascii="仿宋_GB2312" w:eastAsia="仿宋_GB2312" w:hint="eastAsia"/>
          <w:sz w:val="32"/>
          <w:szCs w:val="32"/>
        </w:rPr>
        <w:t>根据申诉责任认定结果为“有责”的情况，按地市公司、省级公司两级，设置预警和整改两类指标。</w:t>
      </w:r>
    </w:p>
    <w:p w14:paraId="6B287190" w14:textId="6107FE7E" w:rsidR="00780C1D" w:rsidRPr="00B959DA" w:rsidRDefault="00920A7F" w:rsidP="00B959DA">
      <w:pPr>
        <w:spacing w:after="0" w:line="312" w:lineRule="auto"/>
        <w:ind w:firstLineChars="200" w:firstLine="640"/>
        <w:jc w:val="both"/>
        <w:rPr>
          <w:rFonts w:ascii="仿宋_GB2312" w:eastAsia="仿宋_GB2312" w:hint="eastAsia"/>
          <w:sz w:val="32"/>
          <w:szCs w:val="32"/>
        </w:rPr>
      </w:pPr>
      <w:r w:rsidRPr="00B959DA">
        <w:rPr>
          <w:rFonts w:ascii="仿宋_GB2312" w:eastAsia="仿宋_GB2312" w:hint="eastAsia"/>
          <w:sz w:val="32"/>
          <w:szCs w:val="32"/>
        </w:rPr>
        <w:lastRenderedPageBreak/>
        <w:t>地市公司：1个月内(以实际统计周期为准，下同),有责申诉达1件的，对该地市公司预警；有责申诉3件以上的，该地市公司进行整改。</w:t>
      </w:r>
    </w:p>
    <w:p w14:paraId="09998592" w14:textId="43425552" w:rsidR="00780C1D" w:rsidRPr="00B959DA" w:rsidRDefault="00920A7F" w:rsidP="00B959DA">
      <w:pPr>
        <w:spacing w:after="0" w:line="312" w:lineRule="auto"/>
        <w:ind w:firstLineChars="200" w:firstLine="640"/>
        <w:jc w:val="both"/>
        <w:rPr>
          <w:rFonts w:ascii="仿宋_GB2312" w:eastAsia="仿宋_GB2312" w:hint="eastAsia"/>
          <w:sz w:val="32"/>
          <w:szCs w:val="32"/>
        </w:rPr>
      </w:pPr>
      <w:r w:rsidRPr="00B959DA">
        <w:rPr>
          <w:rFonts w:ascii="仿宋_GB2312" w:eastAsia="仿宋_GB2312" w:hint="eastAsia"/>
          <w:sz w:val="32"/>
          <w:szCs w:val="32"/>
        </w:rPr>
        <w:t>省级公司：1个月内，省内有3个地市公司进行整改的，对该省级公司预警；有5个及以上地市公司进行整改的，该省级公司进行整改。</w:t>
      </w:r>
    </w:p>
    <w:p w14:paraId="61A5E703" w14:textId="5F62DC46" w:rsidR="00780C1D" w:rsidRPr="00B959DA" w:rsidRDefault="00920A7F" w:rsidP="00B959DA">
      <w:pPr>
        <w:spacing w:after="0" w:line="312" w:lineRule="auto"/>
        <w:ind w:firstLineChars="200" w:firstLine="640"/>
        <w:jc w:val="both"/>
        <w:rPr>
          <w:rFonts w:ascii="仿宋_GB2312" w:eastAsia="仿宋_GB2312" w:hint="eastAsia"/>
          <w:sz w:val="32"/>
          <w:szCs w:val="32"/>
        </w:rPr>
      </w:pPr>
      <w:r w:rsidRPr="00B959DA">
        <w:rPr>
          <w:rFonts w:ascii="仿宋_GB2312" w:eastAsia="仿宋_GB2312" w:hint="eastAsia"/>
          <w:sz w:val="32"/>
          <w:szCs w:val="32"/>
        </w:rPr>
        <w:t>整改期为30天，在此期间由基础电信企业集团总部关闭相关下属企业的业务办理权限，暂停金融关联类业务营销和发展新用户。</w:t>
      </w:r>
    </w:p>
    <w:p w14:paraId="349C480A" w14:textId="77777777" w:rsidR="00780C1D" w:rsidRPr="00B959DA" w:rsidRDefault="00920A7F" w:rsidP="00B959DA">
      <w:pPr>
        <w:spacing w:after="0" w:line="312" w:lineRule="auto"/>
        <w:ind w:firstLineChars="200" w:firstLine="640"/>
        <w:jc w:val="both"/>
        <w:rPr>
          <w:rFonts w:ascii="仿宋_GB2312" w:eastAsia="仿宋_GB2312" w:hint="eastAsia"/>
          <w:sz w:val="32"/>
          <w:szCs w:val="32"/>
        </w:rPr>
      </w:pPr>
      <w:r w:rsidRPr="00B959DA">
        <w:rPr>
          <w:rFonts w:ascii="仿宋_GB2312" w:eastAsia="仿宋_GB2312" w:hint="eastAsia"/>
          <w:sz w:val="32"/>
          <w:szCs w:val="32"/>
        </w:rPr>
        <w:t>注：</w:t>
      </w:r>
    </w:p>
    <w:p w14:paraId="6A847B53" w14:textId="70948812" w:rsidR="00780C1D" w:rsidRPr="00B959DA" w:rsidRDefault="00920A7F" w:rsidP="00B959DA">
      <w:pPr>
        <w:spacing w:after="0" w:line="312" w:lineRule="auto"/>
        <w:ind w:firstLineChars="200" w:firstLine="640"/>
        <w:jc w:val="both"/>
        <w:rPr>
          <w:rFonts w:ascii="仿宋_GB2312" w:eastAsia="仿宋_GB2312" w:hint="eastAsia"/>
          <w:sz w:val="32"/>
          <w:szCs w:val="32"/>
        </w:rPr>
      </w:pPr>
      <w:r w:rsidRPr="00B959DA">
        <w:rPr>
          <w:rFonts w:ascii="仿宋_GB2312" w:eastAsia="仿宋_GB2312" w:hint="eastAsia"/>
          <w:sz w:val="32"/>
          <w:szCs w:val="32"/>
        </w:rPr>
        <w:t>(1)用户申诉为恢复业务后新发展用户申诉。同一用户、同一订单通过不同方式反映且被认定有责的，不重复计算。</w:t>
      </w:r>
    </w:p>
    <w:p w14:paraId="44339A69" w14:textId="675D68E4" w:rsidR="00780C1D" w:rsidRPr="00B959DA" w:rsidRDefault="00920A7F" w:rsidP="00B959DA">
      <w:pPr>
        <w:spacing w:after="0" w:line="312" w:lineRule="auto"/>
        <w:ind w:firstLineChars="200" w:firstLine="640"/>
        <w:jc w:val="both"/>
        <w:rPr>
          <w:rFonts w:ascii="仿宋_GB2312" w:eastAsia="仿宋_GB2312" w:hint="eastAsia"/>
          <w:sz w:val="32"/>
          <w:szCs w:val="32"/>
        </w:rPr>
      </w:pPr>
      <w:r w:rsidRPr="00B959DA">
        <w:rPr>
          <w:rFonts w:ascii="仿宋_GB2312" w:eastAsia="仿宋_GB2312" w:hint="eastAsia"/>
          <w:sz w:val="32"/>
          <w:szCs w:val="32"/>
        </w:rPr>
        <w:t>(2)各企业直辖市下属区县公司视为地市公司。</w:t>
      </w:r>
    </w:p>
    <w:p w14:paraId="0AB7952D" w14:textId="77777777" w:rsidR="00780C1D" w:rsidRPr="00B959DA" w:rsidRDefault="00780C1D" w:rsidP="00B959DA">
      <w:pPr>
        <w:spacing w:after="0" w:line="312" w:lineRule="auto"/>
        <w:ind w:firstLineChars="200" w:firstLine="640"/>
        <w:jc w:val="both"/>
        <w:rPr>
          <w:rFonts w:ascii="仿宋_GB2312" w:eastAsia="仿宋_GB2312"/>
          <w:sz w:val="32"/>
          <w:szCs w:val="32"/>
        </w:rPr>
      </w:pPr>
    </w:p>
    <w:p w14:paraId="172AE736" w14:textId="77777777" w:rsidR="00780C1D" w:rsidRPr="00B959DA" w:rsidRDefault="00780C1D" w:rsidP="00B959DA">
      <w:pPr>
        <w:spacing w:after="0" w:line="312" w:lineRule="auto"/>
        <w:jc w:val="both"/>
        <w:rPr>
          <w:rFonts w:ascii="仿宋_GB2312" w:eastAsia="仿宋_GB2312"/>
          <w:sz w:val="32"/>
          <w:szCs w:val="32"/>
        </w:rPr>
      </w:pPr>
    </w:p>
    <w:p w14:paraId="63F4C860" w14:textId="77777777" w:rsidR="00780C1D" w:rsidRPr="00B959DA" w:rsidRDefault="00780C1D" w:rsidP="00B959DA">
      <w:pPr>
        <w:spacing w:after="0" w:line="312" w:lineRule="auto"/>
        <w:jc w:val="both"/>
        <w:rPr>
          <w:rFonts w:ascii="仿宋_GB2312" w:eastAsia="仿宋_GB2312"/>
          <w:sz w:val="32"/>
          <w:szCs w:val="32"/>
        </w:rPr>
      </w:pPr>
    </w:p>
    <w:p w14:paraId="40B7E8D6" w14:textId="0D35011F" w:rsidR="00780C1D" w:rsidRPr="00B959DA" w:rsidRDefault="00920A7F" w:rsidP="00B959DA">
      <w:pPr>
        <w:spacing w:after="0" w:line="312" w:lineRule="auto"/>
        <w:jc w:val="right"/>
        <w:rPr>
          <w:rFonts w:ascii="仿宋_GB2312" w:eastAsia="仿宋_GB2312" w:hint="eastAsia"/>
          <w:sz w:val="32"/>
          <w:szCs w:val="32"/>
        </w:rPr>
      </w:pPr>
      <w:r w:rsidRPr="00B959DA">
        <w:rPr>
          <w:rFonts w:ascii="仿宋_GB2312" w:eastAsia="仿宋_GB2312" w:hint="eastAsia"/>
          <w:sz w:val="32"/>
          <w:szCs w:val="32"/>
        </w:rPr>
        <w:t>工业和信息化部电信用户申诉受理中心</w:t>
      </w:r>
    </w:p>
    <w:p w14:paraId="6A6C2B0A" w14:textId="77777777" w:rsidR="00780C1D" w:rsidRPr="00B959DA" w:rsidRDefault="00920A7F" w:rsidP="00B959DA">
      <w:pPr>
        <w:spacing w:after="0" w:line="312" w:lineRule="auto"/>
        <w:ind w:right="1280"/>
        <w:jc w:val="right"/>
        <w:rPr>
          <w:rFonts w:ascii="仿宋_GB2312" w:eastAsia="仿宋_GB2312" w:hint="eastAsia"/>
          <w:sz w:val="32"/>
          <w:szCs w:val="32"/>
        </w:rPr>
      </w:pPr>
      <w:r w:rsidRPr="00B959DA">
        <w:rPr>
          <w:rFonts w:ascii="仿宋_GB2312" w:eastAsia="仿宋_GB2312" w:hint="eastAsia"/>
          <w:sz w:val="32"/>
          <w:szCs w:val="32"/>
        </w:rPr>
        <w:t>2023年11月28日</w:t>
      </w:r>
    </w:p>
    <w:p w14:paraId="52BBFB8B" w14:textId="77777777" w:rsidR="00780C1D" w:rsidRPr="00B959DA" w:rsidRDefault="00780C1D" w:rsidP="00B959DA">
      <w:pPr>
        <w:spacing w:after="0" w:line="312" w:lineRule="auto"/>
        <w:jc w:val="both"/>
        <w:rPr>
          <w:rFonts w:ascii="仿宋_GB2312" w:eastAsia="仿宋_GB2312"/>
          <w:sz w:val="32"/>
          <w:szCs w:val="32"/>
        </w:rPr>
      </w:pPr>
    </w:p>
    <w:p w14:paraId="7A69EE64" w14:textId="77777777" w:rsidR="00780C1D" w:rsidRPr="00B959DA" w:rsidRDefault="00780C1D" w:rsidP="00B959DA">
      <w:pPr>
        <w:spacing w:after="0" w:line="312" w:lineRule="auto"/>
        <w:jc w:val="both"/>
        <w:rPr>
          <w:rFonts w:ascii="仿宋_GB2312" w:eastAsia="仿宋_GB2312"/>
          <w:sz w:val="32"/>
          <w:szCs w:val="32"/>
        </w:rPr>
      </w:pPr>
    </w:p>
    <w:p w14:paraId="4CEB7647" w14:textId="77777777" w:rsidR="00780C1D" w:rsidRPr="00B959DA" w:rsidRDefault="00780C1D" w:rsidP="00B959DA">
      <w:pPr>
        <w:spacing w:after="0" w:line="312" w:lineRule="auto"/>
        <w:jc w:val="both"/>
        <w:rPr>
          <w:rFonts w:ascii="仿宋_GB2312" w:eastAsia="仿宋_GB2312"/>
          <w:sz w:val="32"/>
          <w:szCs w:val="32"/>
        </w:rPr>
      </w:pPr>
    </w:p>
    <w:p w14:paraId="002556B1" w14:textId="77777777" w:rsidR="00780C1D" w:rsidRPr="00B959DA" w:rsidRDefault="00920A7F" w:rsidP="00B959DA">
      <w:pPr>
        <w:spacing w:after="0" w:line="312" w:lineRule="auto"/>
        <w:jc w:val="both"/>
        <w:rPr>
          <w:rFonts w:ascii="仿宋_GB2312" w:eastAsia="仿宋_GB2312" w:hint="eastAsia"/>
          <w:sz w:val="32"/>
          <w:szCs w:val="32"/>
        </w:rPr>
      </w:pPr>
      <w:r w:rsidRPr="00B959DA">
        <w:rPr>
          <w:rFonts w:ascii="仿宋_GB2312" w:eastAsia="仿宋_GB2312" w:hint="eastAsia"/>
          <w:sz w:val="32"/>
          <w:szCs w:val="32"/>
        </w:rPr>
        <w:t>报：部信息通信管理局；</w:t>
      </w:r>
    </w:p>
    <w:p w14:paraId="337B700F" w14:textId="77777777" w:rsidR="00780C1D" w:rsidRPr="00B959DA" w:rsidRDefault="00920A7F" w:rsidP="00B959DA">
      <w:pPr>
        <w:spacing w:after="0" w:line="312" w:lineRule="auto"/>
        <w:jc w:val="both"/>
        <w:rPr>
          <w:rFonts w:ascii="仿宋_GB2312" w:eastAsia="仿宋_GB2312" w:hint="eastAsia"/>
          <w:sz w:val="32"/>
          <w:szCs w:val="32"/>
        </w:rPr>
      </w:pPr>
      <w:r w:rsidRPr="00B959DA">
        <w:rPr>
          <w:rFonts w:ascii="仿宋_GB2312" w:eastAsia="仿宋_GB2312" w:hint="eastAsia"/>
          <w:sz w:val="32"/>
          <w:szCs w:val="32"/>
        </w:rPr>
        <w:t>抄：各省、自治区、直辖市通信管理局。</w:t>
      </w:r>
    </w:p>
    <w:sectPr w:rsidR="00780C1D" w:rsidRPr="00B959DA" w:rsidSect="00B959DA">
      <w:headerReference w:type="even" r:id="rId6"/>
      <w:headerReference w:type="default" r:id="rId7"/>
      <w:footerReference w:type="even" r:id="rId8"/>
      <w:footerReference w:type="default" r:id="rId9"/>
      <w:headerReference w:type="first" r:id="rId10"/>
      <w:footerReference w:type="first" r:id="rId11"/>
      <w:pgSz w:w="11920" w:h="16840"/>
      <w:pgMar w:top="2098" w:right="1474" w:bottom="1985" w:left="1588"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E5F9D" w14:textId="77777777" w:rsidR="0080332C" w:rsidRDefault="0080332C">
      <w:pPr>
        <w:spacing w:after="0"/>
      </w:pPr>
      <w:r>
        <w:separator/>
      </w:r>
    </w:p>
  </w:endnote>
  <w:endnote w:type="continuationSeparator" w:id="0">
    <w:p w14:paraId="701D26C6" w14:textId="77777777" w:rsidR="0080332C" w:rsidRDefault="00803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B88D7" w14:textId="77777777" w:rsidR="00DD5AE5" w:rsidRDefault="00DD5AE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10244" w14:textId="77777777" w:rsidR="00780C1D" w:rsidRDefault="00920A7F">
    <w:pPr>
      <w:spacing w:line="172" w:lineRule="auto"/>
      <w:ind w:left="4141"/>
      <w:rPr>
        <w:rFonts w:ascii="Times New Roman" w:eastAsia="Times New Roman" w:hAnsi="Times New Roman" w:cs="Times New Roman"/>
        <w:sz w:val="13"/>
        <w:szCs w:val="13"/>
      </w:rPr>
    </w:pPr>
    <w:r>
      <w:rPr>
        <w:rFonts w:ascii="Times New Roman" w:eastAsia="Times New Roman" w:hAnsi="Times New Roman" w:cs="Times New Roman"/>
        <w:sz w:val="13"/>
        <w:szCs w:val="13"/>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4AEE9" w14:textId="77777777" w:rsidR="00DD5AE5" w:rsidRDefault="00DD5A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A8EE2" w14:textId="77777777" w:rsidR="0080332C" w:rsidRDefault="0080332C">
      <w:pPr>
        <w:spacing w:after="0"/>
      </w:pPr>
      <w:r>
        <w:separator/>
      </w:r>
    </w:p>
  </w:footnote>
  <w:footnote w:type="continuationSeparator" w:id="0">
    <w:p w14:paraId="0664D3BE" w14:textId="77777777" w:rsidR="0080332C" w:rsidRDefault="008033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B17B" w14:textId="77777777" w:rsidR="00DD5AE5" w:rsidRDefault="00DD5AE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C8F0D" w14:textId="77777777" w:rsidR="00DD5AE5" w:rsidRDefault="00DD5AE5">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CDDFD" w14:textId="77777777" w:rsidR="00DD5AE5" w:rsidRDefault="00DD5AE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780C1D"/>
    <w:rsid w:val="00087A87"/>
    <w:rsid w:val="001E6ACD"/>
    <w:rsid w:val="002B0D65"/>
    <w:rsid w:val="00505A36"/>
    <w:rsid w:val="00670C12"/>
    <w:rsid w:val="00780C1D"/>
    <w:rsid w:val="0080332C"/>
    <w:rsid w:val="008D065C"/>
    <w:rsid w:val="00920A7F"/>
    <w:rsid w:val="00A720AE"/>
    <w:rsid w:val="00AA44E1"/>
    <w:rsid w:val="00B959DA"/>
    <w:rsid w:val="00DD5AE5"/>
    <w:rsid w:val="00E3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0C058F"/>
  <w15:docId w15:val="{050ED4A1-2D7C-4A3D-820A-96D61F32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napToGrid w:val="0"/>
        <w:color w:val="000000"/>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spacing w:line="240" w:lineRule="auto"/>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仿宋" w:eastAsia="仿宋" w:hAnsi="仿宋" w:cs="仿宋"/>
      <w:sz w:val="32"/>
      <w:szCs w:val="32"/>
    </w:rPr>
  </w:style>
  <w:style w:type="paragraph" w:styleId="a4">
    <w:name w:val="header"/>
    <w:basedOn w:val="a"/>
    <w:link w:val="a5"/>
    <w:uiPriority w:val="99"/>
    <w:unhideWhenUsed/>
    <w:rsid w:val="008D065C"/>
    <w:pPr>
      <w:tabs>
        <w:tab w:val="center" w:pos="4153"/>
        <w:tab w:val="right" w:pos="8306"/>
      </w:tabs>
      <w:jc w:val="center"/>
    </w:pPr>
    <w:rPr>
      <w:sz w:val="18"/>
      <w:szCs w:val="18"/>
    </w:rPr>
  </w:style>
  <w:style w:type="character" w:customStyle="1" w:styleId="a5">
    <w:name w:val="页眉 字符"/>
    <w:basedOn w:val="a0"/>
    <w:link w:val="a4"/>
    <w:uiPriority w:val="99"/>
    <w:rsid w:val="008D065C"/>
    <w:rPr>
      <w:noProof/>
      <w:sz w:val="18"/>
      <w:szCs w:val="18"/>
    </w:rPr>
  </w:style>
  <w:style w:type="paragraph" w:styleId="a6">
    <w:name w:val="footer"/>
    <w:basedOn w:val="a"/>
    <w:link w:val="a7"/>
    <w:uiPriority w:val="99"/>
    <w:unhideWhenUsed/>
    <w:rsid w:val="008D065C"/>
    <w:pPr>
      <w:tabs>
        <w:tab w:val="center" w:pos="4153"/>
        <w:tab w:val="right" w:pos="8306"/>
      </w:tabs>
    </w:pPr>
    <w:rPr>
      <w:sz w:val="18"/>
      <w:szCs w:val="18"/>
    </w:rPr>
  </w:style>
  <w:style w:type="character" w:customStyle="1" w:styleId="a7">
    <w:name w:val="页脚 字符"/>
    <w:basedOn w:val="a0"/>
    <w:link w:val="a6"/>
    <w:uiPriority w:val="99"/>
    <w:rsid w:val="008D065C"/>
    <w:rPr>
      <w:noProof/>
      <w:sz w:val="18"/>
      <w:szCs w:val="18"/>
    </w:rPr>
  </w:style>
  <w:style w:type="paragraph" w:styleId="a8">
    <w:name w:val="Revision"/>
    <w:hidden/>
    <w:uiPriority w:val="99"/>
    <w:semiHidden/>
    <w:rsid w:val="008D065C"/>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619</Words>
  <Characters>626</Characters>
  <Application>Microsoft Office Word</Application>
  <DocSecurity>0</DocSecurity>
  <Lines>36</Lines>
  <Paragraphs>34</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mandi luo</cp:lastModifiedBy>
  <cp:revision>6</cp:revision>
  <dcterms:created xsi:type="dcterms:W3CDTF">2024-12-25T16:40:00Z</dcterms:created>
  <dcterms:modified xsi:type="dcterms:W3CDTF">2025-05-21T10:09:00Z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2024-12-25T16:40:28Z</vt:filetime>
  </property>
  <property fmtid="{D5CDD505-2E9C-101B-9397-08002B2CF9AE}" pid="4" name="UsrData">
    <vt:lpwstr>676bc4f9be796e0001831147wl</vt:lpwstr>
  </property>
</Properties>
</file>