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1872" w:rsidRPr="00E327D6" w:rsidRDefault="00523B3D">
      <w:pPr>
        <w:spacing w:before="800" w:after="400"/>
        <w:jc w:val="center"/>
        <w:rPr>
          <w:rFonts w:ascii="標楷體" w:eastAsia="標楷體" w:hAnsi="標楷體"/>
          <w:color w:val="000000" w:themeColor="text1"/>
        </w:rPr>
      </w:pPr>
      <w:r w:rsidRPr="00E327D6">
        <w:rPr>
          <w:rFonts w:ascii="標楷體" w:eastAsia="標楷體" w:hAnsi="標楷體"/>
          <w:b/>
          <w:bCs/>
          <w:color w:val="000000" w:themeColor="text1"/>
          <w:sz w:val="44"/>
          <w:szCs w:val="44"/>
        </w:rPr>
        <w:t>以 Salton Index 修正 HETA：共同鄰居比例</w:t>
      </w:r>
      <w:proofErr w:type="gramStart"/>
      <w:r w:rsidRPr="00E327D6">
        <w:rPr>
          <w:rFonts w:ascii="標楷體" w:eastAsia="標楷體" w:hAnsi="標楷體"/>
          <w:b/>
          <w:bCs/>
          <w:color w:val="000000" w:themeColor="text1"/>
          <w:sz w:val="44"/>
          <w:szCs w:val="44"/>
        </w:rPr>
        <w:t>的正態性</w:t>
      </w:r>
      <w:proofErr w:type="gramEnd"/>
      <w:r w:rsidR="00744064" w:rsidRPr="00E327D6">
        <w:rPr>
          <w:rFonts w:ascii="標楷體" w:eastAsia="標楷體" w:hAnsi="標楷體"/>
          <w:b/>
          <w:bCs/>
          <w:color w:val="000000" w:themeColor="text1"/>
          <w:sz w:val="44"/>
          <w:szCs w:val="44"/>
        </w:rPr>
        <w:t>分佈</w:t>
      </w:r>
    </w:p>
    <w:p w:rsidR="007E1872" w:rsidRPr="00E327D6" w:rsidRDefault="00523B3D">
      <w:pPr>
        <w:spacing w:before="80" w:after="200"/>
        <w:jc w:val="center"/>
        <w:rPr>
          <w:rFonts w:ascii="標楷體" w:eastAsia="標楷體" w:hAnsi="標楷體"/>
          <w:color w:val="000000" w:themeColor="text1"/>
        </w:rPr>
      </w:pPr>
      <w:r w:rsidRPr="00E327D6">
        <w:rPr>
          <w:rFonts w:ascii="標楷體" w:eastAsia="標楷體" w:hAnsi="標楷體"/>
          <w:i/>
          <w:iCs/>
          <w:color w:val="000000" w:themeColor="text1"/>
          <w:sz w:val="26"/>
          <w:szCs w:val="26"/>
        </w:rPr>
        <w:t>Refining HETA with the Salton Index: A Normality Perspective on Common Neighbor Ratios</w:t>
      </w:r>
    </w:p>
    <w:p w:rsidR="007E1872" w:rsidRPr="00E327D6" w:rsidRDefault="00523B3D">
      <w:pPr>
        <w:pStyle w:val="1"/>
        <w:pageBreakBefore/>
        <w:rPr>
          <w:rFonts w:ascii="標楷體" w:eastAsia="標楷體" w:hAnsi="標楷體"/>
          <w:color w:val="000000" w:themeColor="text1"/>
        </w:rPr>
      </w:pPr>
      <w:r w:rsidRPr="00E327D6">
        <w:rPr>
          <w:rFonts w:ascii="標楷體" w:eastAsia="標楷體" w:hAnsi="標楷體"/>
          <w:color w:val="000000" w:themeColor="text1"/>
        </w:rPr>
        <w:lastRenderedPageBreak/>
        <w:t>第一章　基本介紹</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複雜網路（complex networks）是現代科學中描述大量互動系統的通用語言。食物鏈中的捕食關係、社交網路中的友誼連結、電子電路中的輸入輸出關係，都可以透過節點（nodes）與邊（edges / links）的抽象化過程，轉換為可供數學分析的網路結構。研究者長期以來藉由靜態拓撲分析、動態過程模擬等方法，從微觀元素的互動出發，探索整體網路的非線性動態與宏觀湧現現象（Everett &amp; Borgatti, 1999）。</w:t>
      </w:r>
    </w:p>
    <w:p w:rsidR="007E1872" w:rsidRPr="00E327D6" w:rsidRDefault="00523B3D">
      <w:pPr>
        <w:pStyle w:val="2"/>
        <w:rPr>
          <w:rFonts w:ascii="標楷體" w:eastAsia="標楷體" w:hAnsi="標楷體"/>
          <w:color w:val="000000" w:themeColor="text1"/>
        </w:rPr>
      </w:pPr>
      <w:r w:rsidRPr="00E327D6">
        <w:rPr>
          <w:rFonts w:ascii="標楷體" w:eastAsia="標楷體" w:hAnsi="標楷體"/>
          <w:color w:val="000000" w:themeColor="text1"/>
        </w:rPr>
        <w:t>1.1　強弱連結的理論基礎</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網路中邊的性質研究，最早可追溯至 Granovetter（1973）的經典求職實驗。他發現人們往往不是透過親密的好友，而是透過「認識但不熟悉」的弱連結（weak ties）獲得新工作機會。這些弱連結橫跨不同社交群體，成為傳遞異質資訊的重要橋梁。相對地，強連結（strong ties）雖能強化群體內部的凝聚與支持，卻因共同朋友高度重疊而在資訊傳播上形成同質性回音壁。</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Granovetter 的洞見引發了後續大量研究。McCann et al.（1998）指出弱連結有助於提升網路穩定性，當部分節點遭受攻擊時，弱連結構成的備援路徑能防止整體崩潰。相對地，Krackhardt（1999）與 Lee et al.（2015）則指出強連結在複雜知識移轉與群體動員中的不可或缺性——強連結所形成的信任基礎，使高複雜度訊息得以有效傳遞與強化。Hansen（1999）進一步在組織研究中整合兩者，指出弱連結有利於知識搜尋、強連結有利於知識移轉，兩者應當共存。近年的大規模實驗研究持續深化此一理論體系：Rajkumar et al.（2022）基於 LinkedIn 超過 2000 萬用戶的隨機實驗，提供了弱連結強度的首個大規模因果證據，發現弱連結對就業傳播的效益呈非線性倒 U 型關係；Fronczak et al.（2022）以 DBLP 合著網路對 Granovetter 理論進行全面驗證，揭示強弱連結定義的不對稱性是過去研究爭議的主要根源；Kim 與 Fernandez（2023）則在系統性回顧中指出，弱連結的橋接功能（bridging function）才是理論核心，而非連結強度本身，並呼籲未來研究將拓撲位置與連結強度分開處理。</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然而，強弱連結的二元分法本身存在根本性的局限：現實網路中邊的強度往往呈現連續光譜，且在不同網路層次上可能扮演截然不同的角色。Putnam（2001）以「結合型（bonding）」與「橋接型（bridging）」社會資本的區分，為這一直覺提供了更豐富的概念框架，卻仍未能突破二元對立的限制。Barrat et al.（2004）、Onnela et al.</w:t>
      </w:r>
      <w:r w:rsidRPr="00E327D6">
        <w:rPr>
          <w:rFonts w:ascii="標楷體" w:eastAsia="標楷體" w:hAnsi="標楷體"/>
          <w:color w:val="000000" w:themeColor="text1"/>
        </w:rPr>
        <w:lastRenderedPageBreak/>
        <w:t>（2007）等研究者嘗試以域知識（domain knowledge）量化連結強度——如通話頻率、交易次數——但這類方法高度依賴特定領域的數據可及性，難以泛化至不同類型的網路。</w:t>
      </w:r>
    </w:p>
    <w:p w:rsidR="007E1872" w:rsidRPr="00E327D6" w:rsidRDefault="00523B3D">
      <w:pPr>
        <w:pStyle w:val="2"/>
        <w:rPr>
          <w:rFonts w:ascii="標楷體" w:eastAsia="標楷體" w:hAnsi="標楷體"/>
          <w:color w:val="000000" w:themeColor="text1"/>
        </w:rPr>
      </w:pPr>
      <w:r w:rsidRPr="00E327D6">
        <w:rPr>
          <w:rFonts w:ascii="標楷體" w:eastAsia="標楷體" w:hAnsi="標楷體"/>
          <w:color w:val="000000" w:themeColor="text1"/>
        </w:rPr>
        <w:t>1.2　Bond Links 與 Bridges 的概念演進</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在拓撲學意義上，Bollobás（1998）在圖論中嚴格定義了「橋（bridge）」：一條邊若被移除後導致網路分裂為兩個連通子圖，則稱之為橋。橋代表網路中的結構性脆弱點，其移除會直接切斷兩端的訊息通道。與橋相對，bond link 代表網路中高度可替代的連結——兩端點共享大量共同朋友，移除任一 bond link 後，訊息仍可透過眾多替代路徑快速傳遞。</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隨著複雜網路研究的深化，研究者逐漸意識到橋與 bond link 代表的是兩種極端情形，現實中大多數邊介於兩者之間。Jensen et al.（2016）提出全域橋（global bridge）的偵測方法，以邊介數（edge betweenness centrality）為依據，識別那些雖非嚴格拓撲橋、卻在訊息長距離傳遞中扮演關鍵角色的邊。Wu et al.（2018）則從滲流理論（percolation theory）視角分析橋的分布對網路魯棒性的系統性影響。然而這些研究仍停留在「是否為橋」的二元判斷，或僅以介數等單一指標排序，未能建立完整的多層次分類體系。</w:t>
      </w:r>
    </w:p>
    <w:p w:rsidR="007E1872" w:rsidRPr="00E327D6" w:rsidRDefault="00523B3D">
      <w:pPr>
        <w:pStyle w:val="2"/>
        <w:rPr>
          <w:rFonts w:ascii="標楷體" w:eastAsia="標楷體" w:hAnsi="標楷體"/>
          <w:color w:val="000000" w:themeColor="text1"/>
        </w:rPr>
      </w:pPr>
      <w:r w:rsidRPr="00E327D6">
        <w:rPr>
          <w:rFonts w:ascii="標楷體" w:eastAsia="標楷體" w:hAnsi="標楷體"/>
          <w:color w:val="000000" w:themeColor="text1"/>
        </w:rPr>
        <w:t>1.3　網路階層結構與社群偵測</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複雜網路普遍具有階層性（hierarchical structure）：節點與邊在不同尺度上呈現出從緊密小群體到鬆散大社群的多層次組織。Clauset et al.（2008）指出，階層結構是真實網路中遺失連結預測的重要依據。理解網路的邊階層，直接關係到社群偵測（community detection）的準確性——強連結的邊趨向於群體內部，弱連結的橋類邊則連結不同群體（Girvan &amp; Newman, 2002；Fu et al., 2017）。</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在小世界網路（Watts &amp; Strogatz, 1998）與無尺度網路（Barabási &amp; Albert, 1999）的理論框架確立後，邊的強弱在不同網路類型中的分布規律成為重要研究課題。小世界網路中，少數隨機重連的邊（shortcuts）扮演橋的功能，大幅縮短平均路徑長度；無尺度網路中，hub 節點周邊的邊形成高度可替代的 bond 結構，而遠端低度節點之間的邊則近似橋的特性。這一觀察提示我們：邊類型的分布比例，本身即是網路拓撲結構的「指紋」。</w:t>
      </w:r>
    </w:p>
    <w:p w:rsidR="007E1872" w:rsidRPr="00E327D6" w:rsidRDefault="00523B3D">
      <w:pPr>
        <w:pStyle w:val="2"/>
        <w:rPr>
          <w:rFonts w:ascii="標楷體" w:eastAsia="標楷體" w:hAnsi="標楷體"/>
          <w:color w:val="000000" w:themeColor="text1"/>
        </w:rPr>
      </w:pPr>
      <w:r w:rsidRPr="00E327D6">
        <w:rPr>
          <w:rFonts w:ascii="標楷體" w:eastAsia="標楷體" w:hAnsi="標楷體"/>
          <w:color w:val="000000" w:themeColor="text1"/>
        </w:rPr>
        <w:lastRenderedPageBreak/>
        <w:t>1.4　共同鄰居概念作為拓撲量化工具</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在不依賴域知識的條件下，如何從純粹的拓撲結構量化邊的強弱？共同鄰居概念（common neighbor concept）提供了一個優雅的解答：兩個節點共同認識的「朋友」愈多，其連結就愈接近 bond link；共同朋友愈少，則愈接近橋。這一直覺源自社交網路中「朋友的朋友多半也是朋友」的三角閉合（triadic closure）原則。</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Liben-Nowell 與 Kleinberg（2007）在連結預測研究中系統性驗證了共同鄰居家族指標（含 Jaccard 係數、Adamic / Adar 指數等）的預測力，確立其在拓撲分析中的核心地位。然而過去的研究多將共同鄰居限定於一階直接鄰居，忽略了「朋友的朋友」（二階）乃至更遠層次的間接共同連結。若兩個節點雖無直接共同朋友，卻共享多條「朋友的朋友」路徑，則其連結仍具有一定程度的可替代性，不應被直接歸類為全域橋。</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正是在上述背景下，Huang et al.（2019）提出了 HETA 演算法，將共同鄰居的概念延伸至第 k 層，並結合隨機化網路集成（ensemble of randomized networks）建立統計顯著性</w:t>
      </w:r>
      <w:proofErr w:type="gramStart"/>
      <w:r w:rsidRPr="00E327D6">
        <w:rPr>
          <w:rFonts w:ascii="標楷體" w:eastAsia="標楷體" w:hAnsi="標楷體"/>
          <w:color w:val="000000" w:themeColor="text1"/>
        </w:rPr>
        <w:t>閾</w:t>
      </w:r>
      <w:proofErr w:type="gramEnd"/>
      <w:r w:rsidRPr="00E327D6">
        <w:rPr>
          <w:rFonts w:ascii="標楷體" w:eastAsia="標楷體" w:hAnsi="標楷體"/>
          <w:color w:val="000000" w:themeColor="text1"/>
        </w:rPr>
        <w:t>值，實現了四類邊的多層次階層分類。這是首個同時兼顧拓撲純粹性（不依賴域知識）、統計嚴謹性（以隨機化網路為基準）與階層完整性（涵蓋從最強到最弱連結的完整光譜）的邊類型</w:t>
      </w:r>
      <w:bookmarkStart w:id="0" w:name="_GoBack"/>
      <w:bookmarkEnd w:id="0"/>
      <w:r w:rsidRPr="00E327D6">
        <w:rPr>
          <w:rFonts w:ascii="標楷體" w:eastAsia="標楷體" w:hAnsi="標楷體"/>
          <w:color w:val="000000" w:themeColor="text1"/>
        </w:rPr>
        <w:t>分析框架。</w:t>
      </w:r>
    </w:p>
    <w:p w:rsidR="007E1872" w:rsidRPr="00E327D6" w:rsidRDefault="00523B3D">
      <w:pPr>
        <w:pStyle w:val="1"/>
        <w:pageBreakBefore/>
        <w:rPr>
          <w:rFonts w:ascii="標楷體" w:eastAsia="標楷體" w:hAnsi="標楷體"/>
          <w:color w:val="000000" w:themeColor="text1"/>
        </w:rPr>
      </w:pPr>
      <w:r w:rsidRPr="00E327D6">
        <w:rPr>
          <w:rFonts w:ascii="標楷體" w:eastAsia="標楷體" w:hAnsi="標楷體"/>
          <w:color w:val="000000" w:themeColor="text1"/>
        </w:rPr>
        <w:lastRenderedPageBreak/>
        <w:t>第二章　研究背景</w:t>
      </w:r>
    </w:p>
    <w:p w:rsidR="007E1872" w:rsidRPr="00E327D6" w:rsidRDefault="00523B3D">
      <w:pPr>
        <w:pStyle w:val="2"/>
        <w:rPr>
          <w:rFonts w:ascii="標楷體" w:eastAsia="標楷體" w:hAnsi="標楷體"/>
          <w:color w:val="000000" w:themeColor="text1"/>
        </w:rPr>
      </w:pPr>
      <w:r w:rsidRPr="00E327D6">
        <w:rPr>
          <w:rFonts w:ascii="標楷體" w:eastAsia="標楷體" w:hAnsi="標楷體"/>
          <w:color w:val="000000" w:themeColor="text1"/>
        </w:rPr>
        <w:t>2.1　HETA 演算法概述</w:t>
      </w:r>
    </w:p>
    <w:p w:rsidR="002A4436" w:rsidRPr="00E327D6" w:rsidRDefault="002A4436" w:rsidP="00E327D6">
      <w:pPr>
        <w:pStyle w:val="font-claude-response-body"/>
        <w:spacing w:line="360" w:lineRule="auto"/>
        <w:ind w:firstLine="480"/>
        <w:rPr>
          <w:rFonts w:ascii="標楷體" w:eastAsia="標楷體" w:hAnsi="標楷體" w:cs="Times New Roman"/>
          <w:color w:val="000000" w:themeColor="text1"/>
        </w:rPr>
      </w:pPr>
      <w:r w:rsidRPr="00E327D6">
        <w:rPr>
          <w:rFonts w:ascii="標楷體" w:eastAsia="標楷體" w:hAnsi="標楷體" w:cs="Times New Roman"/>
          <w:color w:val="000000" w:themeColor="text1"/>
        </w:rPr>
        <w:t>HETA</w:t>
      </w:r>
      <w:r w:rsidRPr="00E327D6">
        <w:rPr>
          <w:rFonts w:ascii="標楷體" w:eastAsia="標楷體" w:hAnsi="標楷體" w:cs="Times New Roman" w:hint="eastAsia"/>
          <w:color w:val="000000" w:themeColor="text1"/>
        </w:rPr>
        <w:t>為一個</w:t>
      </w:r>
      <w:proofErr w:type="gramStart"/>
      <w:r w:rsidRPr="00E327D6">
        <w:rPr>
          <w:rFonts w:ascii="標楷體" w:eastAsia="標楷體" w:hAnsi="標楷體" w:cs="Times New Roman"/>
          <w:color w:val="000000" w:themeColor="text1"/>
        </w:rPr>
        <w:t>階層式邊類型</w:t>
      </w:r>
      <w:proofErr w:type="gramEnd"/>
      <w:r w:rsidRPr="00E327D6">
        <w:rPr>
          <w:rFonts w:ascii="標楷體" w:eastAsia="標楷體" w:hAnsi="標楷體" w:cs="Times New Roman"/>
          <w:color w:val="000000" w:themeColor="text1"/>
        </w:rPr>
        <w:t>分析演算法（Hierarchical Edge Type Analysis, HETA）由 Huang 等人提出，是一種基於共同鄰居概念（common neighbor concept）對無向複雜網絡中的邊進行分類的演算法。HETA引入</w:t>
      </w:r>
      <w:r w:rsidRPr="00E327D6">
        <w:rPr>
          <w:rFonts w:ascii="標楷體" w:eastAsia="標楷體" w:hAnsi="標楷體" w:cs="Times New Roman"/>
          <w:b/>
          <w:bCs/>
          <w:color w:val="000000" w:themeColor="text1"/>
        </w:rPr>
        <w:t>四種</w:t>
      </w:r>
      <w:proofErr w:type="gramStart"/>
      <w:r w:rsidRPr="00E327D6">
        <w:rPr>
          <w:rFonts w:ascii="標楷體" w:eastAsia="標楷體" w:hAnsi="標楷體" w:cs="Times New Roman"/>
          <w:b/>
          <w:bCs/>
          <w:color w:val="000000" w:themeColor="text1"/>
        </w:rPr>
        <w:t>階層式邊類型</w:t>
      </w:r>
      <w:proofErr w:type="gramEnd"/>
      <w:r w:rsidRPr="00E327D6">
        <w:rPr>
          <w:rFonts w:ascii="標楷體" w:eastAsia="標楷體" w:hAnsi="標楷體" w:cs="Times New Roman"/>
          <w:color w:val="000000" w:themeColor="text1"/>
        </w:rPr>
        <w:t>，並提供一套跨網絡層級、具統計基礎的量化識別流程。</w:t>
      </w:r>
    </w:p>
    <w:p w:rsidR="002A4436" w:rsidRDefault="002A4436" w:rsidP="00E327D6">
      <w:pPr>
        <w:pStyle w:val="font-claude-response-body"/>
        <w:spacing w:line="360" w:lineRule="auto"/>
        <w:ind w:firstLine="480"/>
        <w:rPr>
          <w:rFonts w:ascii="標楷體" w:eastAsia="標楷體" w:hAnsi="標楷體" w:cs="Times New Roman"/>
          <w:color w:val="000000" w:themeColor="text1"/>
        </w:rPr>
      </w:pPr>
      <w:r w:rsidRPr="00E327D6">
        <w:rPr>
          <w:rFonts w:ascii="標楷體" w:eastAsia="標楷體" w:hAnsi="標楷體" w:cs="Times New Roman"/>
          <w:color w:val="000000" w:themeColor="text1"/>
        </w:rPr>
        <w:t>HETA 所識別的四類邊依序為：（一）</w:t>
      </w:r>
      <w:proofErr w:type="gramStart"/>
      <w:r w:rsidRPr="00E327D6">
        <w:rPr>
          <w:rFonts w:ascii="標楷體" w:eastAsia="標楷體" w:hAnsi="標楷體" w:cs="Times New Roman"/>
          <w:b/>
          <w:bCs/>
          <w:color w:val="000000" w:themeColor="text1"/>
        </w:rPr>
        <w:t>鍵結邊</w:t>
      </w:r>
      <w:proofErr w:type="gramEnd"/>
      <w:r w:rsidRPr="00E327D6">
        <w:rPr>
          <w:rFonts w:ascii="標楷體" w:eastAsia="標楷體" w:hAnsi="標楷體" w:cs="Times New Roman"/>
          <w:color w:val="000000" w:themeColor="text1"/>
        </w:rPr>
        <w:t>（bond links）、（二）</w:t>
      </w:r>
      <w:r w:rsidRPr="00E327D6">
        <w:rPr>
          <w:rFonts w:ascii="標楷體" w:eastAsia="標楷體" w:hAnsi="標楷體" w:cs="Times New Roman"/>
          <w:b/>
          <w:bCs/>
          <w:color w:val="000000" w:themeColor="text1"/>
        </w:rPr>
        <w:t>第 k 層局部橋</w:t>
      </w:r>
      <w:r w:rsidRPr="00E327D6">
        <w:rPr>
          <w:rFonts w:ascii="標楷體" w:eastAsia="標楷體" w:hAnsi="標楷體" w:cs="Times New Roman"/>
          <w:color w:val="000000" w:themeColor="text1"/>
        </w:rPr>
        <w:t>（</w:t>
      </w:r>
      <w:r w:rsidRPr="00E327D6">
        <w:rPr>
          <w:rFonts w:ascii="標楷體" w:eastAsia="標楷體" w:hAnsi="標楷體" w:cs="Times New Roman"/>
          <w:i/>
          <w:iCs/>
          <w:color w:val="000000" w:themeColor="text1"/>
        </w:rPr>
        <w:t>k</w:t>
      </w:r>
      <w:r w:rsidRPr="00E327D6">
        <w:rPr>
          <w:rFonts w:ascii="標楷體" w:eastAsia="標楷體" w:hAnsi="標楷體" w:cs="Times New Roman"/>
          <w:color w:val="000000" w:themeColor="text1"/>
        </w:rPr>
        <w:t>th-layer local bridges）、（三）</w:t>
      </w:r>
      <w:proofErr w:type="gramStart"/>
      <w:r w:rsidRPr="00E327D6">
        <w:rPr>
          <w:rFonts w:ascii="標楷體" w:eastAsia="標楷體" w:hAnsi="標楷體" w:cs="Times New Roman"/>
          <w:b/>
          <w:bCs/>
          <w:color w:val="000000" w:themeColor="text1"/>
        </w:rPr>
        <w:t>全域橋</w:t>
      </w:r>
      <w:proofErr w:type="gramEnd"/>
      <w:r w:rsidRPr="00E327D6">
        <w:rPr>
          <w:rFonts w:ascii="標楷體" w:eastAsia="標楷體" w:hAnsi="標楷體" w:cs="Times New Roman"/>
          <w:color w:val="000000" w:themeColor="text1"/>
        </w:rPr>
        <w:t>（global bridges）、（四）</w:t>
      </w:r>
      <w:proofErr w:type="gramStart"/>
      <w:r w:rsidRPr="00E327D6">
        <w:rPr>
          <w:rFonts w:ascii="標楷體" w:eastAsia="標楷體" w:hAnsi="標楷體" w:cs="Times New Roman"/>
          <w:b/>
          <w:bCs/>
          <w:color w:val="000000" w:themeColor="text1"/>
        </w:rPr>
        <w:t>絲狀邊</w:t>
      </w:r>
      <w:proofErr w:type="gramEnd"/>
      <w:r w:rsidRPr="00E327D6">
        <w:rPr>
          <w:rFonts w:ascii="標楷體" w:eastAsia="標楷體" w:hAnsi="標楷體" w:cs="Times New Roman"/>
          <w:color w:val="000000" w:themeColor="text1"/>
        </w:rPr>
        <w:t>（silk links）。這些類別從緊密</w:t>
      </w:r>
      <w:proofErr w:type="gramStart"/>
      <w:r w:rsidRPr="00E327D6">
        <w:rPr>
          <w:rFonts w:ascii="標楷體" w:eastAsia="標楷體" w:hAnsi="標楷體" w:cs="Times New Roman"/>
          <w:color w:val="000000" w:themeColor="text1"/>
        </w:rPr>
        <w:t>鄰</w:t>
      </w:r>
      <w:proofErr w:type="gramEnd"/>
      <w:r w:rsidRPr="00E327D6">
        <w:rPr>
          <w:rFonts w:ascii="標楷體" w:eastAsia="標楷體" w:hAnsi="標楷體" w:cs="Times New Roman"/>
          <w:color w:val="000000" w:themeColor="text1"/>
        </w:rPr>
        <w:t>域中高度可替換的</w:t>
      </w:r>
      <w:proofErr w:type="gramStart"/>
      <w:r w:rsidRPr="00E327D6">
        <w:rPr>
          <w:rFonts w:ascii="標楷體" w:eastAsia="標楷體" w:hAnsi="標楷體" w:cs="Times New Roman"/>
          <w:color w:val="000000" w:themeColor="text1"/>
        </w:rPr>
        <w:t>鍵結邊</w:t>
      </w:r>
      <w:proofErr w:type="gramEnd"/>
      <w:r w:rsidRPr="00E327D6">
        <w:rPr>
          <w:rFonts w:ascii="標楷體" w:eastAsia="標楷體" w:hAnsi="標楷體" w:cs="Times New Roman"/>
          <w:color w:val="000000" w:themeColor="text1"/>
        </w:rPr>
        <w:t>，延伸到具結構性關鍵地位或孤立連結的</w:t>
      </w:r>
      <w:proofErr w:type="gramStart"/>
      <w:r w:rsidRPr="00E327D6">
        <w:rPr>
          <w:rFonts w:ascii="標楷體" w:eastAsia="標楷體" w:hAnsi="標楷體" w:cs="Times New Roman"/>
          <w:color w:val="000000" w:themeColor="text1"/>
        </w:rPr>
        <w:t>絲狀邊與全域橋</w:t>
      </w:r>
      <w:proofErr w:type="gramEnd"/>
      <w:r w:rsidRPr="00E327D6">
        <w:rPr>
          <w:rFonts w:ascii="標楷體" w:eastAsia="標楷體" w:hAnsi="標楷體" w:cs="Times New Roman"/>
          <w:color w:val="000000" w:themeColor="text1"/>
        </w:rPr>
        <w:t>；局部橋則處於</w:t>
      </w:r>
      <w:proofErr w:type="gramStart"/>
      <w:r w:rsidRPr="00E327D6">
        <w:rPr>
          <w:rFonts w:ascii="標楷體" w:eastAsia="標楷體" w:hAnsi="標楷體" w:cs="Times New Roman"/>
          <w:color w:val="000000" w:themeColor="text1"/>
        </w:rPr>
        <w:t>其間，</w:t>
      </w:r>
      <w:proofErr w:type="gramEnd"/>
      <w:r w:rsidRPr="00E327D6">
        <w:rPr>
          <w:rFonts w:ascii="標楷體" w:eastAsia="標楷體" w:hAnsi="標楷體" w:cs="Times New Roman"/>
          <w:color w:val="000000" w:themeColor="text1"/>
        </w:rPr>
        <w:t xml:space="preserve">由層級參數 </w:t>
      </w:r>
      <w:r w:rsidRPr="00E327D6">
        <w:rPr>
          <w:rFonts w:ascii="標楷體" w:eastAsia="標楷體" w:hAnsi="標楷體" w:cs="Times New Roman"/>
          <w:i/>
          <w:iCs/>
          <w:color w:val="000000" w:themeColor="text1"/>
        </w:rPr>
        <w:t>k</w:t>
      </w:r>
      <w:r w:rsidRPr="00E327D6">
        <w:rPr>
          <w:rFonts w:ascii="標楷體" w:eastAsia="標楷體" w:hAnsi="標楷體" w:cs="Times New Roman"/>
          <w:color w:val="000000" w:themeColor="text1"/>
        </w:rPr>
        <w:t xml:space="preserve"> 描述其相對強度。</w:t>
      </w:r>
    </w:p>
    <w:p w:rsidR="00E327D6" w:rsidRPr="00E327D6" w:rsidRDefault="00E327D6" w:rsidP="00E327D6">
      <w:pPr>
        <w:pStyle w:val="font-claude-response-body"/>
        <w:spacing w:line="360" w:lineRule="auto"/>
        <w:rPr>
          <w:rFonts w:ascii="標楷體" w:eastAsia="標楷體" w:hAnsi="標楷體" w:cs="Times New Roman" w:hint="eastAsia"/>
          <w:color w:val="000000" w:themeColor="text1"/>
        </w:rPr>
      </w:pPr>
      <w:r>
        <w:t>2.2　符號與基本定義</w:t>
      </w:r>
    </w:p>
    <w:p w:rsidR="002A4436" w:rsidRPr="00E327D6" w:rsidRDefault="00E327D6" w:rsidP="00E327D6">
      <w:pPr>
        <w:pStyle w:val="2"/>
        <w:spacing w:line="360" w:lineRule="auto"/>
        <w:ind w:firstLine="480"/>
        <w:rPr>
          <w:rFonts w:ascii="標楷體" w:eastAsia="標楷體" w:hAnsi="標楷體" w:hint="eastAsia"/>
          <w:color w:val="000000" w:themeColor="text1"/>
        </w:rPr>
      </w:pPr>
      <w:r w:rsidRPr="00E327D6">
        <w:rPr>
          <w:rFonts w:ascii="標楷體" w:eastAsia="標楷體" w:hAnsi="標楷體" w:hint="eastAsia"/>
          <w:b w:val="0"/>
          <w:bCs w:val="0"/>
          <w:color w:val="000000" w:themeColor="text1"/>
          <w:sz w:val="24"/>
          <w:szCs w:val="24"/>
        </w:rPr>
        <w:t>令</w:t>
      </w:r>
      <w:r w:rsidRPr="00E327D6">
        <w:rPr>
          <w:rFonts w:ascii="標楷體" w:eastAsia="標楷體" w:hAnsi="標楷體"/>
          <w:b w:val="0"/>
          <w:bCs w:val="0"/>
          <w:color w:val="000000" w:themeColor="text1"/>
          <w:sz w:val="24"/>
          <w:szCs w:val="24"/>
        </w:rPr>
        <w:t xml:space="preserve"> </w:t>
      </w:r>
      <w:r w:rsidRPr="00E327D6">
        <w:rPr>
          <w:rFonts w:ascii="標楷體" w:eastAsia="標楷體" w:hAnsi="標楷體"/>
          <w:b w:val="0"/>
          <w:bCs w:val="0"/>
          <w:iCs/>
          <w:color w:val="000000" w:themeColor="text1"/>
          <w:sz w:val="24"/>
          <w:szCs w:val="24"/>
        </w:rPr>
        <w:t>G = (V, E)</w:t>
      </w:r>
      <w:r w:rsidRPr="00E327D6">
        <w:rPr>
          <w:rFonts w:ascii="標楷體" w:eastAsia="標楷體" w:hAnsi="標楷體"/>
          <w:b w:val="0"/>
          <w:bCs w:val="0"/>
          <w:color w:val="000000" w:themeColor="text1"/>
          <w:sz w:val="24"/>
          <w:szCs w:val="24"/>
        </w:rPr>
        <w:t xml:space="preserve"> </w:t>
      </w:r>
      <w:r w:rsidRPr="00E327D6">
        <w:rPr>
          <w:rFonts w:ascii="標楷體" w:eastAsia="標楷體" w:hAnsi="標楷體" w:hint="eastAsia"/>
          <w:b w:val="0"/>
          <w:bCs w:val="0"/>
          <w:color w:val="000000" w:themeColor="text1"/>
          <w:sz w:val="24"/>
          <w:szCs w:val="24"/>
        </w:rPr>
        <w:t>為一無向、無權重、不含自環與平行邊的網絡，其中</w:t>
      </w:r>
      <w:r w:rsidRPr="00E327D6">
        <w:rPr>
          <w:rFonts w:ascii="標楷體" w:eastAsia="標楷體" w:hAnsi="標楷體"/>
          <w:b w:val="0"/>
          <w:bCs w:val="0"/>
          <w:color w:val="000000" w:themeColor="text1"/>
          <w:sz w:val="24"/>
          <w:szCs w:val="24"/>
        </w:rPr>
        <w:t xml:space="preserve"> </w:t>
      </w:r>
      <w:r w:rsidRPr="00E327D6">
        <w:rPr>
          <w:rFonts w:ascii="標楷體" w:eastAsia="標楷體" w:hAnsi="標楷體"/>
          <w:b w:val="0"/>
          <w:bCs w:val="0"/>
          <w:iCs/>
          <w:color w:val="000000" w:themeColor="text1"/>
          <w:sz w:val="24"/>
          <w:szCs w:val="24"/>
        </w:rPr>
        <w:t>V</w:t>
      </w:r>
      <w:r w:rsidRPr="00E327D6">
        <w:rPr>
          <w:rFonts w:ascii="標楷體" w:eastAsia="標楷體" w:hAnsi="標楷體"/>
          <w:b w:val="0"/>
          <w:bCs w:val="0"/>
          <w:color w:val="000000" w:themeColor="text1"/>
          <w:sz w:val="24"/>
          <w:szCs w:val="24"/>
        </w:rPr>
        <w:t xml:space="preserve"> = {</w:t>
      </w:r>
      <w:r w:rsidRPr="00E327D6">
        <w:rPr>
          <w:rFonts w:ascii="標楷體" w:eastAsia="標楷體" w:hAnsi="標楷體"/>
          <w:b w:val="0"/>
          <w:bCs w:val="0"/>
          <w:iCs/>
          <w:color w:val="000000" w:themeColor="text1"/>
          <w:sz w:val="24"/>
          <w:szCs w:val="24"/>
        </w:rPr>
        <w:t>v</w:t>
      </w:r>
      <w:r w:rsidRPr="00E327D6">
        <w:rPr>
          <w:rFonts w:eastAsia="標楷體"/>
          <w:b w:val="0"/>
          <w:bCs w:val="0"/>
          <w:iCs/>
          <w:color w:val="000000" w:themeColor="text1"/>
          <w:sz w:val="24"/>
          <w:szCs w:val="24"/>
        </w:rPr>
        <w:t>₁</w:t>
      </w:r>
      <w:r w:rsidRPr="00E327D6">
        <w:rPr>
          <w:rFonts w:ascii="標楷體" w:eastAsia="標楷體" w:hAnsi="標楷體"/>
          <w:b w:val="0"/>
          <w:bCs w:val="0"/>
          <w:color w:val="000000" w:themeColor="text1"/>
          <w:sz w:val="24"/>
          <w:szCs w:val="24"/>
        </w:rPr>
        <w:t xml:space="preserve">, …, </w:t>
      </w:r>
      <w:r w:rsidRPr="00E327D6">
        <w:rPr>
          <w:rFonts w:ascii="標楷體" w:eastAsia="標楷體" w:hAnsi="標楷體"/>
          <w:b w:val="0"/>
          <w:bCs w:val="0"/>
          <w:iCs/>
          <w:color w:val="000000" w:themeColor="text1"/>
          <w:sz w:val="24"/>
          <w:szCs w:val="24"/>
        </w:rPr>
        <w:t>v</w:t>
      </w:r>
      <w:r w:rsidRPr="00E327D6">
        <w:rPr>
          <w:rFonts w:eastAsia="標楷體"/>
          <w:b w:val="0"/>
          <w:bCs w:val="0"/>
          <w:iCs/>
          <w:color w:val="000000" w:themeColor="text1"/>
          <w:sz w:val="24"/>
          <w:szCs w:val="24"/>
        </w:rPr>
        <w:t>ₙ</w:t>
      </w:r>
      <w:r w:rsidRPr="00E327D6">
        <w:rPr>
          <w:rFonts w:ascii="標楷體" w:eastAsia="標楷體" w:hAnsi="標楷體"/>
          <w:b w:val="0"/>
          <w:bCs w:val="0"/>
          <w:color w:val="000000" w:themeColor="text1"/>
          <w:sz w:val="24"/>
          <w:szCs w:val="24"/>
        </w:rPr>
        <w:t>}</w:t>
      </w:r>
      <w:r w:rsidRPr="00E327D6">
        <w:rPr>
          <w:rFonts w:ascii="標楷體" w:eastAsia="標楷體" w:hAnsi="標楷體" w:hint="eastAsia"/>
          <w:b w:val="0"/>
          <w:bCs w:val="0"/>
          <w:color w:val="000000" w:themeColor="text1"/>
          <w:sz w:val="24"/>
          <w:szCs w:val="24"/>
        </w:rPr>
        <w:t>、</w:t>
      </w:r>
      <w:r w:rsidRPr="00E327D6">
        <w:rPr>
          <w:rFonts w:ascii="標楷體" w:eastAsia="標楷體" w:hAnsi="標楷體"/>
          <w:b w:val="0"/>
          <w:bCs w:val="0"/>
          <w:iCs/>
          <w:color w:val="000000" w:themeColor="text1"/>
          <w:sz w:val="24"/>
          <w:szCs w:val="24"/>
        </w:rPr>
        <w:t>E</w:t>
      </w:r>
      <w:r w:rsidRPr="00E327D6">
        <w:rPr>
          <w:rFonts w:ascii="標楷體" w:eastAsia="標楷體" w:hAnsi="標楷體"/>
          <w:b w:val="0"/>
          <w:bCs w:val="0"/>
          <w:color w:val="000000" w:themeColor="text1"/>
          <w:sz w:val="24"/>
          <w:szCs w:val="24"/>
        </w:rPr>
        <w:t xml:space="preserve"> = {</w:t>
      </w:r>
      <w:r w:rsidRPr="00E327D6">
        <w:rPr>
          <w:rFonts w:ascii="標楷體" w:eastAsia="標楷體" w:hAnsi="標楷體"/>
          <w:b w:val="0"/>
          <w:bCs w:val="0"/>
          <w:iCs/>
          <w:color w:val="000000" w:themeColor="text1"/>
          <w:sz w:val="24"/>
          <w:szCs w:val="24"/>
        </w:rPr>
        <w:t>e</w:t>
      </w:r>
      <w:r w:rsidRPr="00E327D6">
        <w:rPr>
          <w:rFonts w:eastAsia="標楷體"/>
          <w:b w:val="0"/>
          <w:bCs w:val="0"/>
          <w:iCs/>
          <w:color w:val="000000" w:themeColor="text1"/>
          <w:sz w:val="24"/>
          <w:szCs w:val="24"/>
        </w:rPr>
        <w:t>₁</w:t>
      </w:r>
      <w:r w:rsidRPr="00E327D6">
        <w:rPr>
          <w:rFonts w:ascii="標楷體" w:eastAsia="標楷體" w:hAnsi="標楷體"/>
          <w:b w:val="0"/>
          <w:bCs w:val="0"/>
          <w:color w:val="000000" w:themeColor="text1"/>
          <w:sz w:val="24"/>
          <w:szCs w:val="24"/>
        </w:rPr>
        <w:t xml:space="preserve">, …, </w:t>
      </w:r>
      <w:r w:rsidRPr="00E327D6">
        <w:rPr>
          <w:rFonts w:ascii="標楷體" w:eastAsia="標楷體" w:hAnsi="標楷體"/>
          <w:b w:val="0"/>
          <w:bCs w:val="0"/>
          <w:iCs/>
          <w:color w:val="000000" w:themeColor="text1"/>
          <w:sz w:val="24"/>
          <w:szCs w:val="24"/>
        </w:rPr>
        <w:t>e</w:t>
      </w:r>
      <w:r w:rsidRPr="00E327D6">
        <w:rPr>
          <w:rFonts w:eastAsia="標楷體"/>
          <w:b w:val="0"/>
          <w:bCs w:val="0"/>
          <w:iCs/>
          <w:color w:val="000000" w:themeColor="text1"/>
          <w:sz w:val="24"/>
          <w:szCs w:val="24"/>
        </w:rPr>
        <w:t>ₘ</w:t>
      </w:r>
      <w:r w:rsidRPr="00E327D6">
        <w:rPr>
          <w:rFonts w:ascii="標楷體" w:eastAsia="標楷體" w:hAnsi="標楷體"/>
          <w:b w:val="0"/>
          <w:bCs w:val="0"/>
          <w:color w:val="000000" w:themeColor="text1"/>
          <w:sz w:val="24"/>
          <w:szCs w:val="24"/>
        </w:rPr>
        <w:t>}</w:t>
      </w:r>
      <w:r w:rsidRPr="00E327D6">
        <w:rPr>
          <w:rFonts w:ascii="標楷體" w:eastAsia="標楷體" w:hAnsi="標楷體" w:hint="eastAsia"/>
          <w:b w:val="0"/>
          <w:bCs w:val="0"/>
          <w:color w:val="000000" w:themeColor="text1"/>
          <w:sz w:val="24"/>
          <w:szCs w:val="24"/>
        </w:rPr>
        <w:t>。對任一邊</w:t>
      </w:r>
      <w:r w:rsidRPr="00E327D6">
        <w:rPr>
          <w:rFonts w:ascii="標楷體" w:eastAsia="標楷體" w:hAnsi="標楷體"/>
          <w:b w:val="0"/>
          <w:bCs w:val="0"/>
          <w:color w:val="000000" w:themeColor="text1"/>
          <w:sz w:val="24"/>
          <w:szCs w:val="24"/>
        </w:rPr>
        <w:t xml:space="preserve"> </w:t>
      </w:r>
      <w:r w:rsidRPr="00E327D6">
        <w:rPr>
          <w:rFonts w:ascii="標楷體" w:eastAsia="標楷體" w:hAnsi="標楷體"/>
          <w:b w:val="0"/>
          <w:bCs w:val="0"/>
          <w:iCs/>
          <w:color w:val="000000" w:themeColor="text1"/>
          <w:sz w:val="24"/>
          <w:szCs w:val="24"/>
        </w:rPr>
        <w:t>(v</w:t>
      </w:r>
      <w:r w:rsidRPr="00E327D6">
        <w:rPr>
          <w:rFonts w:ascii="Cambria" w:eastAsia="標楷體" w:hAnsi="Cambria" w:cs="Cambria"/>
          <w:b w:val="0"/>
          <w:bCs w:val="0"/>
          <w:iCs/>
          <w:color w:val="000000" w:themeColor="text1"/>
          <w:sz w:val="24"/>
          <w:szCs w:val="24"/>
        </w:rPr>
        <w:t>ᵢ</w:t>
      </w:r>
      <w:r w:rsidRPr="00E327D6">
        <w:rPr>
          <w:rFonts w:ascii="標楷體" w:eastAsia="標楷體" w:hAnsi="標楷體"/>
          <w:b w:val="0"/>
          <w:bCs w:val="0"/>
          <w:iCs/>
          <w:color w:val="000000" w:themeColor="text1"/>
          <w:sz w:val="24"/>
          <w:szCs w:val="24"/>
        </w:rPr>
        <w:t>, v</w:t>
      </w:r>
      <w:r w:rsidRPr="00E327D6">
        <w:rPr>
          <w:rFonts w:eastAsia="標楷體"/>
          <w:b w:val="0"/>
          <w:bCs w:val="0"/>
          <w:iCs/>
          <w:color w:val="000000" w:themeColor="text1"/>
          <w:sz w:val="24"/>
          <w:szCs w:val="24"/>
        </w:rPr>
        <w:t>ⱼ</w:t>
      </w:r>
      <w:r w:rsidRPr="00E327D6">
        <w:rPr>
          <w:rFonts w:ascii="標楷體" w:eastAsia="標楷體" w:hAnsi="標楷體"/>
          <w:b w:val="0"/>
          <w:bCs w:val="0"/>
          <w:iCs/>
          <w:color w:val="000000" w:themeColor="text1"/>
          <w:sz w:val="24"/>
          <w:szCs w:val="24"/>
        </w:rPr>
        <w:t xml:space="preserve">) </w:t>
      </w:r>
      <w:r w:rsidRPr="00E327D6">
        <w:rPr>
          <w:rFonts w:ascii="Cambria Math" w:eastAsia="標楷體" w:hAnsi="Cambria Math" w:cs="Cambria Math"/>
          <w:b w:val="0"/>
          <w:bCs w:val="0"/>
          <w:iCs/>
          <w:color w:val="000000" w:themeColor="text1"/>
          <w:sz w:val="24"/>
          <w:szCs w:val="24"/>
        </w:rPr>
        <w:t>∈</w:t>
      </w:r>
      <w:r w:rsidRPr="00E327D6">
        <w:rPr>
          <w:rFonts w:ascii="標楷體" w:eastAsia="標楷體" w:hAnsi="標楷體"/>
          <w:b w:val="0"/>
          <w:bCs w:val="0"/>
          <w:iCs/>
          <w:color w:val="000000" w:themeColor="text1"/>
          <w:sz w:val="24"/>
          <w:szCs w:val="24"/>
        </w:rPr>
        <w:t xml:space="preserve"> E</w:t>
      </w:r>
      <w:r w:rsidRPr="00E327D6">
        <w:rPr>
          <w:rFonts w:ascii="標楷體" w:eastAsia="標楷體" w:hAnsi="標楷體" w:hint="eastAsia"/>
          <w:b w:val="0"/>
          <w:bCs w:val="0"/>
          <w:color w:val="000000" w:themeColor="text1"/>
          <w:sz w:val="24"/>
          <w:szCs w:val="24"/>
        </w:rPr>
        <w:t>，定義</w:t>
      </w:r>
      <w:r w:rsidRPr="00E327D6">
        <w:rPr>
          <w:rFonts w:ascii="標楷體" w:eastAsia="標楷體" w:hAnsi="標楷體"/>
          <w:b w:val="0"/>
          <w:bCs w:val="0"/>
          <w:color w:val="000000" w:themeColor="text1"/>
          <w:sz w:val="24"/>
          <w:szCs w:val="24"/>
        </w:rPr>
        <w:t xml:space="preserve"> </w:t>
      </w:r>
      <w:r w:rsidRPr="00E327D6">
        <w:rPr>
          <w:rFonts w:ascii="標楷體" w:eastAsia="標楷體" w:hAnsi="標楷體"/>
          <w:b w:val="0"/>
          <w:bCs w:val="0"/>
          <w:iCs/>
          <w:color w:val="000000" w:themeColor="text1"/>
          <w:sz w:val="24"/>
          <w:szCs w:val="24"/>
        </w:rPr>
        <w:t>v</w:t>
      </w:r>
      <w:r w:rsidRPr="00E327D6">
        <w:rPr>
          <w:rFonts w:ascii="Cambria" w:eastAsia="標楷體" w:hAnsi="Cambria" w:cs="Cambria"/>
          <w:b w:val="0"/>
          <w:bCs w:val="0"/>
          <w:iCs/>
          <w:color w:val="000000" w:themeColor="text1"/>
          <w:sz w:val="24"/>
          <w:szCs w:val="24"/>
        </w:rPr>
        <w:t>ᵢ</w:t>
      </w:r>
      <w:r w:rsidRPr="00E327D6">
        <w:rPr>
          <w:rFonts w:ascii="標楷體" w:eastAsia="標楷體" w:hAnsi="標楷體"/>
          <w:b w:val="0"/>
          <w:bCs w:val="0"/>
          <w:color w:val="000000" w:themeColor="text1"/>
          <w:sz w:val="24"/>
          <w:szCs w:val="24"/>
        </w:rPr>
        <w:t xml:space="preserve"> </w:t>
      </w:r>
      <w:r w:rsidRPr="00E327D6">
        <w:rPr>
          <w:rFonts w:ascii="標楷體" w:eastAsia="標楷體" w:hAnsi="標楷體" w:hint="eastAsia"/>
          <w:b w:val="0"/>
          <w:bCs w:val="0"/>
          <w:color w:val="000000" w:themeColor="text1"/>
          <w:sz w:val="24"/>
          <w:szCs w:val="24"/>
        </w:rPr>
        <w:t>之第一層鄰居集合（排除</w:t>
      </w:r>
      <w:r w:rsidRPr="00E327D6">
        <w:rPr>
          <w:rFonts w:ascii="標楷體" w:eastAsia="標楷體" w:hAnsi="標楷體"/>
          <w:b w:val="0"/>
          <w:bCs w:val="0"/>
          <w:color w:val="000000" w:themeColor="text1"/>
          <w:sz w:val="24"/>
          <w:szCs w:val="24"/>
        </w:rPr>
        <w:t xml:space="preserve"> </w:t>
      </w:r>
      <w:r w:rsidRPr="00E327D6">
        <w:rPr>
          <w:rFonts w:ascii="標楷體" w:eastAsia="標楷體" w:hAnsi="標楷體"/>
          <w:b w:val="0"/>
          <w:bCs w:val="0"/>
          <w:color w:val="000000" w:themeColor="text1"/>
          <w:sz w:val="24"/>
          <w:szCs w:val="24"/>
        </w:rPr>
        <w:t>v</w:t>
      </w:r>
      <w:r w:rsidRPr="00E327D6">
        <w:rPr>
          <w:rFonts w:eastAsia="標楷體"/>
          <w:b w:val="0"/>
          <w:bCs w:val="0"/>
          <w:color w:val="000000" w:themeColor="text1"/>
          <w:sz w:val="24"/>
          <w:szCs w:val="24"/>
        </w:rPr>
        <w:t>ⱼ</w:t>
      </w:r>
      <w:r w:rsidRPr="00E327D6">
        <w:rPr>
          <w:rFonts w:ascii="標楷體" w:eastAsia="標楷體" w:hAnsi="標楷體" w:hint="eastAsia"/>
          <w:b w:val="0"/>
          <w:bCs w:val="0"/>
          <w:color w:val="000000" w:themeColor="text1"/>
          <w:sz w:val="24"/>
          <w:szCs w:val="24"/>
        </w:rPr>
        <w:t>）為</w:t>
      </w:r>
      <w:r w:rsidRPr="00E327D6">
        <w:rPr>
          <w:rFonts w:ascii="標楷體" w:eastAsia="標楷體" w:hAnsi="標楷體"/>
          <w:b w:val="0"/>
          <w:bCs w:val="0"/>
          <w:color w:val="000000" w:themeColor="text1"/>
          <w:sz w:val="24"/>
          <w:szCs w:val="24"/>
        </w:rPr>
        <w:t xml:space="preserve"> </w:t>
      </w:r>
      <w:r w:rsidRPr="00E327D6">
        <w:rPr>
          <w:rFonts w:ascii="標楷體" w:eastAsia="標楷體" w:hAnsi="標楷體"/>
          <w:b w:val="0"/>
          <w:bCs w:val="0"/>
          <w:color w:val="000000" w:themeColor="text1"/>
          <w:sz w:val="24"/>
          <w:szCs w:val="24"/>
        </w:rPr>
        <w:t>V</w:t>
      </w:r>
      <w:r w:rsidRPr="00E327D6">
        <w:rPr>
          <w:rFonts w:ascii="標楷體" w:eastAsia="標楷體" w:hAnsi="標楷體"/>
          <w:b w:val="0"/>
          <w:bCs w:val="0"/>
          <w:color w:val="000000" w:themeColor="text1"/>
          <w:sz w:val="24"/>
          <w:szCs w:val="24"/>
        </w:rPr>
        <w:t>^{1,j}_i = {</w:t>
      </w:r>
      <w:r w:rsidRPr="00E327D6">
        <w:rPr>
          <w:rFonts w:ascii="標楷體" w:eastAsia="標楷體" w:hAnsi="標楷體"/>
          <w:b w:val="0"/>
          <w:bCs w:val="0"/>
          <w:color w:val="000000" w:themeColor="text1"/>
          <w:sz w:val="24"/>
          <w:szCs w:val="24"/>
        </w:rPr>
        <w:t>v</w:t>
      </w:r>
      <w:r w:rsidRPr="00E327D6">
        <w:rPr>
          <w:rFonts w:eastAsia="標楷體"/>
          <w:b w:val="0"/>
          <w:bCs w:val="0"/>
          <w:color w:val="000000" w:themeColor="text1"/>
          <w:sz w:val="24"/>
          <w:szCs w:val="24"/>
        </w:rPr>
        <w:t>ₖ</w:t>
      </w:r>
      <w:r w:rsidRPr="00E327D6">
        <w:rPr>
          <w:rFonts w:ascii="標楷體" w:eastAsia="標楷體" w:hAnsi="標楷體"/>
          <w:b w:val="0"/>
          <w:bCs w:val="0"/>
          <w:color w:val="000000" w:themeColor="text1"/>
          <w:sz w:val="24"/>
          <w:szCs w:val="24"/>
        </w:rPr>
        <w:t xml:space="preserve"> | (</w:t>
      </w:r>
      <w:r w:rsidRPr="00E327D6">
        <w:rPr>
          <w:rFonts w:ascii="標楷體" w:eastAsia="標楷體" w:hAnsi="標楷體"/>
          <w:b w:val="0"/>
          <w:bCs w:val="0"/>
          <w:color w:val="000000" w:themeColor="text1"/>
          <w:sz w:val="24"/>
          <w:szCs w:val="24"/>
        </w:rPr>
        <w:t>v</w:t>
      </w:r>
      <w:r w:rsidRPr="00E327D6">
        <w:rPr>
          <w:rFonts w:ascii="Cambria" w:eastAsia="標楷體" w:hAnsi="Cambria" w:cs="Cambria"/>
          <w:b w:val="0"/>
          <w:bCs w:val="0"/>
          <w:color w:val="000000" w:themeColor="text1"/>
          <w:sz w:val="24"/>
          <w:szCs w:val="24"/>
        </w:rPr>
        <w:t>ᵢ</w:t>
      </w:r>
      <w:r w:rsidRPr="00E327D6">
        <w:rPr>
          <w:rFonts w:ascii="標楷體" w:eastAsia="標楷體" w:hAnsi="標楷體"/>
          <w:b w:val="0"/>
          <w:bCs w:val="0"/>
          <w:color w:val="000000" w:themeColor="text1"/>
          <w:sz w:val="24"/>
          <w:szCs w:val="24"/>
        </w:rPr>
        <w:t xml:space="preserve">, </w:t>
      </w:r>
      <w:r w:rsidRPr="00E327D6">
        <w:rPr>
          <w:rFonts w:ascii="標楷體" w:eastAsia="標楷體" w:hAnsi="標楷體"/>
          <w:b w:val="0"/>
          <w:bCs w:val="0"/>
          <w:color w:val="000000" w:themeColor="text1"/>
          <w:sz w:val="24"/>
          <w:szCs w:val="24"/>
        </w:rPr>
        <w:t>v</w:t>
      </w:r>
      <w:r w:rsidRPr="00E327D6">
        <w:rPr>
          <w:rFonts w:eastAsia="標楷體"/>
          <w:b w:val="0"/>
          <w:bCs w:val="0"/>
          <w:color w:val="000000" w:themeColor="text1"/>
          <w:sz w:val="24"/>
          <w:szCs w:val="24"/>
        </w:rPr>
        <w:t>ₖ</w:t>
      </w:r>
      <w:r w:rsidRPr="00E327D6">
        <w:rPr>
          <w:rFonts w:ascii="標楷體" w:eastAsia="標楷體" w:hAnsi="標楷體"/>
          <w:b w:val="0"/>
          <w:bCs w:val="0"/>
          <w:color w:val="000000" w:themeColor="text1"/>
          <w:sz w:val="24"/>
          <w:szCs w:val="24"/>
        </w:rPr>
        <w:t xml:space="preserve">) </w:t>
      </w:r>
      <w:r w:rsidRPr="00E327D6">
        <w:rPr>
          <w:rFonts w:ascii="Cambria Math" w:eastAsia="標楷體" w:hAnsi="Cambria Math" w:cs="Cambria Math"/>
          <w:b w:val="0"/>
          <w:bCs w:val="0"/>
          <w:color w:val="000000" w:themeColor="text1"/>
          <w:sz w:val="24"/>
          <w:szCs w:val="24"/>
        </w:rPr>
        <w:t>∈</w:t>
      </w:r>
      <w:r w:rsidRPr="00E327D6">
        <w:rPr>
          <w:rFonts w:ascii="標楷體" w:eastAsia="標楷體" w:hAnsi="標楷體"/>
          <w:b w:val="0"/>
          <w:bCs w:val="0"/>
          <w:color w:val="000000" w:themeColor="text1"/>
          <w:sz w:val="24"/>
          <w:szCs w:val="24"/>
        </w:rPr>
        <w:t xml:space="preserve"> </w:t>
      </w:r>
      <w:r w:rsidRPr="00E327D6">
        <w:rPr>
          <w:rFonts w:ascii="標楷體" w:eastAsia="標楷體" w:hAnsi="標楷體"/>
          <w:b w:val="0"/>
          <w:bCs w:val="0"/>
          <w:color w:val="000000" w:themeColor="text1"/>
          <w:sz w:val="24"/>
          <w:szCs w:val="24"/>
        </w:rPr>
        <w:t>E</w:t>
      </w:r>
      <w:r w:rsidRPr="00E327D6">
        <w:rPr>
          <w:rFonts w:ascii="標楷體" w:eastAsia="標楷體" w:hAnsi="標楷體"/>
          <w:b w:val="0"/>
          <w:bCs w:val="0"/>
          <w:color w:val="000000" w:themeColor="text1"/>
          <w:sz w:val="24"/>
          <w:szCs w:val="24"/>
        </w:rPr>
        <w:t>} \ {</w:t>
      </w:r>
      <w:r w:rsidRPr="00E327D6">
        <w:rPr>
          <w:rFonts w:ascii="標楷體" w:eastAsia="標楷體" w:hAnsi="標楷體"/>
          <w:b w:val="0"/>
          <w:bCs w:val="0"/>
          <w:color w:val="000000" w:themeColor="text1"/>
          <w:sz w:val="24"/>
          <w:szCs w:val="24"/>
        </w:rPr>
        <w:t>v</w:t>
      </w:r>
      <w:r w:rsidRPr="00E327D6">
        <w:rPr>
          <w:rFonts w:eastAsia="標楷體"/>
          <w:b w:val="0"/>
          <w:bCs w:val="0"/>
          <w:color w:val="000000" w:themeColor="text1"/>
          <w:sz w:val="24"/>
          <w:szCs w:val="24"/>
        </w:rPr>
        <w:t>ⱼ</w:t>
      </w:r>
      <w:r w:rsidRPr="00E327D6">
        <w:rPr>
          <w:rFonts w:ascii="標楷體" w:eastAsia="標楷體" w:hAnsi="標楷體"/>
          <w:b w:val="0"/>
          <w:bCs w:val="0"/>
          <w:color w:val="000000" w:themeColor="text1"/>
          <w:sz w:val="24"/>
          <w:szCs w:val="24"/>
        </w:rPr>
        <w:t>}</w:t>
      </w:r>
      <w:r w:rsidRPr="00E327D6">
        <w:rPr>
          <w:rFonts w:ascii="標楷體" w:eastAsia="標楷體" w:hAnsi="標楷體" w:hint="eastAsia"/>
          <w:b w:val="0"/>
          <w:bCs w:val="0"/>
          <w:color w:val="000000" w:themeColor="text1"/>
          <w:sz w:val="24"/>
          <w:szCs w:val="24"/>
        </w:rPr>
        <w:t>。第</w:t>
      </w:r>
      <w:r w:rsidRPr="00E327D6">
        <w:rPr>
          <w:rFonts w:ascii="標楷體" w:eastAsia="標楷體" w:hAnsi="標楷體"/>
          <w:b w:val="0"/>
          <w:bCs w:val="0"/>
          <w:color w:val="000000" w:themeColor="text1"/>
          <w:sz w:val="24"/>
          <w:szCs w:val="24"/>
        </w:rPr>
        <w:t xml:space="preserve"> </w:t>
      </w:r>
      <w:r w:rsidRPr="00E327D6">
        <w:rPr>
          <w:rFonts w:ascii="標楷體" w:eastAsia="標楷體" w:hAnsi="標楷體"/>
          <w:b w:val="0"/>
          <w:bCs w:val="0"/>
          <w:color w:val="000000" w:themeColor="text1"/>
          <w:sz w:val="24"/>
          <w:szCs w:val="24"/>
        </w:rPr>
        <w:t>k</w:t>
      </w:r>
      <w:r w:rsidRPr="00E327D6">
        <w:rPr>
          <w:rFonts w:ascii="標楷體" w:eastAsia="標楷體" w:hAnsi="標楷體"/>
          <w:b w:val="0"/>
          <w:bCs w:val="0"/>
          <w:color w:val="000000" w:themeColor="text1"/>
          <w:sz w:val="24"/>
          <w:szCs w:val="24"/>
        </w:rPr>
        <w:t xml:space="preserve"> </w:t>
      </w:r>
      <w:r w:rsidRPr="00E327D6">
        <w:rPr>
          <w:rFonts w:ascii="標楷體" w:eastAsia="標楷體" w:hAnsi="標楷體" w:hint="eastAsia"/>
          <w:b w:val="0"/>
          <w:bCs w:val="0"/>
          <w:color w:val="000000" w:themeColor="text1"/>
          <w:sz w:val="24"/>
          <w:szCs w:val="24"/>
        </w:rPr>
        <w:t>層鄰居集合</w:t>
      </w:r>
      <w:r w:rsidRPr="00E327D6">
        <w:rPr>
          <w:rFonts w:ascii="標楷體" w:eastAsia="標楷體" w:hAnsi="標楷體"/>
          <w:b w:val="0"/>
          <w:bCs w:val="0"/>
          <w:color w:val="000000" w:themeColor="text1"/>
          <w:sz w:val="24"/>
          <w:szCs w:val="24"/>
        </w:rPr>
        <w:t xml:space="preserve"> </w:t>
      </w:r>
      <w:r w:rsidRPr="00E327D6">
        <w:rPr>
          <w:rFonts w:ascii="標楷體" w:eastAsia="標楷體" w:hAnsi="標楷體"/>
          <w:b w:val="0"/>
          <w:bCs w:val="0"/>
          <w:color w:val="000000" w:themeColor="text1"/>
          <w:sz w:val="24"/>
          <w:szCs w:val="24"/>
        </w:rPr>
        <w:t>V</w:t>
      </w:r>
      <w:r w:rsidRPr="00E327D6">
        <w:rPr>
          <w:rFonts w:ascii="標楷體" w:eastAsia="標楷體" w:hAnsi="標楷體"/>
          <w:b w:val="0"/>
          <w:bCs w:val="0"/>
          <w:color w:val="000000" w:themeColor="text1"/>
          <w:sz w:val="24"/>
          <w:szCs w:val="24"/>
        </w:rPr>
        <w:t xml:space="preserve">^{k,j}_i </w:t>
      </w:r>
      <w:r w:rsidRPr="00E327D6">
        <w:rPr>
          <w:rFonts w:ascii="標楷體" w:eastAsia="標楷體" w:hAnsi="標楷體" w:hint="eastAsia"/>
          <w:b w:val="0"/>
          <w:bCs w:val="0"/>
          <w:color w:val="000000" w:themeColor="text1"/>
          <w:sz w:val="24"/>
          <w:szCs w:val="24"/>
        </w:rPr>
        <w:t>以遞迴方式定義，並排除已</w:t>
      </w:r>
      <w:proofErr w:type="gramStart"/>
      <w:r w:rsidRPr="00E327D6">
        <w:rPr>
          <w:rFonts w:ascii="標楷體" w:eastAsia="標楷體" w:hAnsi="標楷體" w:hint="eastAsia"/>
          <w:b w:val="0"/>
          <w:bCs w:val="0"/>
          <w:color w:val="000000" w:themeColor="text1"/>
          <w:sz w:val="24"/>
          <w:szCs w:val="24"/>
        </w:rPr>
        <w:t>在更淺層</w:t>
      </w:r>
      <w:proofErr w:type="gramEnd"/>
      <w:r w:rsidRPr="00E327D6">
        <w:rPr>
          <w:rFonts w:ascii="標楷體" w:eastAsia="標楷體" w:hAnsi="標楷體" w:hint="eastAsia"/>
          <w:b w:val="0"/>
          <w:bCs w:val="0"/>
          <w:color w:val="000000" w:themeColor="text1"/>
          <w:sz w:val="24"/>
          <w:szCs w:val="24"/>
        </w:rPr>
        <w:t>出現的節點（見</w:t>
      </w:r>
      <w:r w:rsidRPr="00E327D6">
        <w:rPr>
          <w:rFonts w:ascii="標楷體" w:eastAsia="標楷體" w:hAnsi="標楷體"/>
          <w:b w:val="0"/>
          <w:bCs w:val="0"/>
          <w:color w:val="000000" w:themeColor="text1"/>
          <w:sz w:val="24"/>
          <w:szCs w:val="24"/>
        </w:rPr>
        <w:t xml:space="preserve"> [HETA] </w:t>
      </w:r>
      <w:r w:rsidRPr="00E327D6">
        <w:rPr>
          <w:rFonts w:ascii="標楷體" w:eastAsia="標楷體" w:hAnsi="標楷體" w:hint="eastAsia"/>
          <w:b w:val="0"/>
          <w:bCs w:val="0"/>
          <w:color w:val="000000" w:themeColor="text1"/>
          <w:sz w:val="24"/>
          <w:szCs w:val="24"/>
        </w:rPr>
        <w:t>之式</w:t>
      </w:r>
      <w:r w:rsidRPr="00E327D6">
        <w:rPr>
          <w:rFonts w:ascii="標楷體" w:eastAsia="標楷體" w:hAnsi="標楷體"/>
          <w:b w:val="0"/>
          <w:bCs w:val="0"/>
          <w:color w:val="000000" w:themeColor="text1"/>
          <w:sz w:val="24"/>
          <w:szCs w:val="24"/>
        </w:rPr>
        <w:t xml:space="preserve"> 3</w:t>
      </w:r>
      <w:r w:rsidRPr="00E327D6">
        <w:rPr>
          <w:rFonts w:ascii="標楷體" w:eastAsia="標楷體" w:hAnsi="標楷體" w:hint="eastAsia"/>
          <w:b w:val="0"/>
          <w:bCs w:val="0"/>
          <w:color w:val="000000" w:themeColor="text1"/>
          <w:sz w:val="24"/>
          <w:szCs w:val="24"/>
        </w:rPr>
        <w:t>）。</w:t>
      </w:r>
    </w:p>
    <w:p w:rsidR="007E1872" w:rsidRPr="00E327D6" w:rsidRDefault="00523B3D">
      <w:pPr>
        <w:pStyle w:val="1"/>
        <w:pageBreakBefore/>
        <w:rPr>
          <w:rFonts w:ascii="標楷體" w:eastAsia="標楷體" w:hAnsi="標楷體" w:hint="eastAsia"/>
          <w:color w:val="000000" w:themeColor="text1"/>
        </w:rPr>
      </w:pPr>
      <w:r w:rsidRPr="00E327D6">
        <w:rPr>
          <w:rFonts w:ascii="標楷體" w:eastAsia="標楷體" w:hAnsi="標楷體"/>
          <w:color w:val="000000" w:themeColor="text1"/>
        </w:rPr>
        <w:lastRenderedPageBreak/>
        <w:t>第三章　研究動機：</w:t>
      </w:r>
      <w:r w:rsidR="002909D4" w:rsidRPr="00E327D6">
        <w:rPr>
          <w:rFonts w:ascii="標楷體" w:eastAsia="標楷體" w:hAnsi="標楷體" w:hint="eastAsia"/>
          <w:color w:val="000000" w:themeColor="text1"/>
        </w:rPr>
        <w:t>共同鄰居比例</w:t>
      </w:r>
      <w:r w:rsidR="002909D4" w:rsidRPr="00E327D6">
        <w:rPr>
          <w:rFonts w:ascii="標楷體" w:eastAsia="標楷體" w:hAnsi="標楷體"/>
          <w:color w:val="000000" w:themeColor="text1"/>
        </w:rPr>
        <w:t>R分佈異常</w:t>
      </w:r>
    </w:p>
    <w:p w:rsidR="007E1872" w:rsidRPr="00E327D6" w:rsidRDefault="00523B3D">
      <w:pPr>
        <w:pStyle w:val="2"/>
        <w:rPr>
          <w:rFonts w:ascii="標楷體" w:eastAsia="標楷體" w:hAnsi="標楷體" w:hint="eastAsia"/>
          <w:color w:val="000000" w:themeColor="text1"/>
        </w:rPr>
      </w:pPr>
      <w:r w:rsidRPr="00E327D6">
        <w:rPr>
          <w:rFonts w:ascii="標楷體" w:eastAsia="標楷體" w:hAnsi="標楷體"/>
          <w:color w:val="000000" w:themeColor="text1"/>
        </w:rPr>
        <w:t xml:space="preserve">3.1　從實驗重現中觀察到的 </w:t>
      </w:r>
      <w:r w:rsidR="002909D4" w:rsidRPr="00E327D6">
        <w:rPr>
          <w:rFonts w:ascii="標楷體" w:eastAsia="標楷體" w:hAnsi="標楷體"/>
          <w:color w:val="000000" w:themeColor="text1"/>
        </w:rPr>
        <w:t>R</w:t>
      </w:r>
      <w:r w:rsidRPr="00E327D6">
        <w:rPr>
          <w:rFonts w:ascii="標楷體" w:eastAsia="標楷體" w:hAnsi="標楷體"/>
          <w:color w:val="000000" w:themeColor="text1"/>
        </w:rPr>
        <w:t xml:space="preserve"> 分佈異常</w:t>
      </w:r>
    </w:p>
    <w:p w:rsidR="003401B4" w:rsidRPr="00E327D6" w:rsidRDefault="00125C88">
      <w:pPr>
        <w:spacing w:before="60" w:after="120" w:line="360" w:lineRule="auto"/>
        <w:jc w:val="both"/>
        <w:rPr>
          <w:rFonts w:ascii="標楷體" w:eastAsia="標楷體" w:hAnsi="標楷體"/>
          <w:color w:val="000000" w:themeColor="text1"/>
        </w:rPr>
      </w:pPr>
      <w:r w:rsidRPr="00E327D6">
        <w:rPr>
          <w:rFonts w:ascii="標楷體" w:eastAsia="標楷體" w:hAnsi="標楷體" w:hint="eastAsia"/>
          <w:color w:val="000000" w:themeColor="text1"/>
        </w:rPr>
        <w:t>HETA演算法</w:t>
      </w:r>
      <w:r w:rsidR="003401B4" w:rsidRPr="00E327D6">
        <w:rPr>
          <w:rFonts w:ascii="標楷體" w:eastAsia="標楷體" w:hAnsi="標楷體" w:hint="eastAsia"/>
          <w:color w:val="000000" w:themeColor="text1"/>
        </w:rPr>
        <w:t>在階層式分析中有一個重要</w:t>
      </w:r>
      <w:proofErr w:type="gramStart"/>
      <w:r w:rsidR="003401B4" w:rsidRPr="00E327D6">
        <w:rPr>
          <w:rFonts w:ascii="標楷體" w:eastAsia="標楷體" w:hAnsi="標楷體" w:hint="eastAsia"/>
          <w:color w:val="000000" w:themeColor="text1"/>
        </w:rPr>
        <w:t>的域值公式</w:t>
      </w:r>
      <w:proofErr w:type="gramEnd"/>
      <w:r w:rsidR="003401B4" w:rsidRPr="00E327D6">
        <w:rPr>
          <w:rFonts w:ascii="標楷體" w:eastAsia="標楷體" w:hAnsi="標楷體" w:hint="eastAsia"/>
          <w:color w:val="000000" w:themeColor="text1"/>
        </w:rPr>
        <w:t>，</w:t>
      </w:r>
      <w:proofErr w:type="gramStart"/>
      <w:r w:rsidR="003401B4" w:rsidRPr="00E327D6">
        <w:rPr>
          <w:rFonts w:ascii="標楷體" w:eastAsia="標楷體" w:hAnsi="標楷體" w:hint="eastAsia"/>
          <w:color w:val="000000" w:themeColor="text1"/>
        </w:rPr>
        <w:t>此域值</w:t>
      </w:r>
      <w:proofErr w:type="gramEnd"/>
      <w:r w:rsidR="003401B4" w:rsidRPr="00E327D6">
        <w:rPr>
          <w:rFonts w:ascii="標楷體" w:eastAsia="標楷體" w:hAnsi="標楷體" w:hint="eastAsia"/>
          <w:color w:val="000000" w:themeColor="text1"/>
        </w:rPr>
        <w:t>公式決定</w:t>
      </w:r>
      <w:proofErr w:type="gramStart"/>
      <w:r w:rsidR="003401B4" w:rsidRPr="00E327D6">
        <w:rPr>
          <w:rFonts w:ascii="標楷體" w:eastAsia="標楷體" w:hAnsi="標楷體" w:hint="eastAsia"/>
          <w:color w:val="000000" w:themeColor="text1"/>
        </w:rPr>
        <w:t>著該邊是否</w:t>
      </w:r>
      <w:proofErr w:type="gramEnd"/>
      <w:r w:rsidR="003401B4" w:rsidRPr="00E327D6">
        <w:rPr>
          <w:rFonts w:ascii="標楷體" w:eastAsia="標楷體" w:hAnsi="標楷體" w:hint="eastAsia"/>
          <w:color w:val="000000" w:themeColor="text1"/>
        </w:rPr>
        <w:t>能進入B</w:t>
      </w:r>
      <w:r w:rsidR="003401B4" w:rsidRPr="00E327D6">
        <w:rPr>
          <w:rFonts w:ascii="標楷體" w:eastAsia="標楷體" w:hAnsi="標楷體"/>
          <w:color w:val="000000" w:themeColor="text1"/>
        </w:rPr>
        <w:t>ond</w:t>
      </w:r>
      <w:r w:rsidR="003401B4" w:rsidRPr="00E327D6">
        <w:rPr>
          <w:rFonts w:ascii="標楷體" w:eastAsia="標楷體" w:hAnsi="標楷體" w:hint="eastAsia"/>
          <w:color w:val="000000" w:themeColor="text1"/>
        </w:rPr>
        <w:t>，被分類為強連結，而</w:t>
      </w:r>
      <w:proofErr w:type="gramStart"/>
      <w:r w:rsidR="003401B4" w:rsidRPr="00E327D6">
        <w:rPr>
          <w:rFonts w:ascii="標楷體" w:eastAsia="標楷體" w:hAnsi="標楷體" w:hint="eastAsia"/>
          <w:color w:val="000000" w:themeColor="text1"/>
        </w:rPr>
        <w:t>該域值</w:t>
      </w:r>
      <w:proofErr w:type="gramEnd"/>
      <w:r w:rsidR="003401B4" w:rsidRPr="00E327D6">
        <w:rPr>
          <w:rFonts w:ascii="標楷體" w:eastAsia="標楷體" w:hAnsi="標楷體" w:hint="eastAsia"/>
          <w:color w:val="000000" w:themeColor="text1"/>
        </w:rPr>
        <w:t>的計算公式使用</w:t>
      </w:r>
      <w:r w:rsidRPr="00E327D6">
        <w:rPr>
          <w:rFonts w:ascii="標楷體" w:eastAsia="標楷體" w:hAnsi="標楷體" w:hint="eastAsia"/>
          <w:color w:val="000000" w:themeColor="text1"/>
        </w:rPr>
        <w:t>計算共同鄰居比例</w:t>
      </w:r>
      <w:r w:rsidR="003401B4" w:rsidRPr="00E327D6">
        <w:rPr>
          <w:rFonts w:ascii="標楷體" w:eastAsia="標楷體" w:hAnsi="標楷體" w:hint="eastAsia"/>
          <w:color w:val="000000" w:themeColor="text1"/>
        </w:rPr>
        <w:t>來當作計算依據，具體如下:</w:t>
      </w:r>
    </w:p>
    <w:p w:rsidR="003401B4" w:rsidRPr="00E327D6" w:rsidRDefault="003401B4">
      <w:pPr>
        <w:spacing w:before="60" w:after="120" w:line="360" w:lineRule="auto"/>
        <w:jc w:val="both"/>
        <w:rPr>
          <w:rFonts w:ascii="標楷體" w:eastAsia="標楷體" w:hAnsi="標楷體" w:hint="eastAsia"/>
          <w:color w:val="000000" w:themeColor="text1"/>
        </w:rPr>
      </w:pPr>
    </w:p>
    <w:p w:rsidR="007E1872" w:rsidRPr="00E327D6" w:rsidRDefault="00523B3D">
      <w:pPr>
        <w:pStyle w:val="2"/>
        <w:rPr>
          <w:rFonts w:ascii="標楷體" w:eastAsia="標楷體" w:hAnsi="標楷體"/>
          <w:color w:val="000000" w:themeColor="text1"/>
        </w:rPr>
      </w:pPr>
      <w:r w:rsidRPr="00E327D6">
        <w:rPr>
          <w:rFonts w:ascii="標楷體" w:eastAsia="標楷體" w:hAnsi="標楷體"/>
          <w:color w:val="000000" w:themeColor="text1"/>
        </w:rPr>
        <w:t>3.2　問題根源：HPI 的 min 分母結構偏誤</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回到 HETA Step 1 所定義的第一層共同鄰居比率：</w:t>
      </w:r>
    </w:p>
    <w:p w:rsidR="007E1872" w:rsidRPr="00E327D6" w:rsidRDefault="00523B3D">
      <w:pPr>
        <w:spacing w:before="120" w:after="120"/>
        <w:jc w:val="center"/>
        <w:rPr>
          <w:rFonts w:ascii="標楷體" w:eastAsia="標楷體" w:hAnsi="標楷體"/>
          <w:color w:val="000000" w:themeColor="text1"/>
        </w:rPr>
      </w:pPr>
      <w:r w:rsidRPr="00E327D6">
        <w:rPr>
          <w:rFonts w:ascii="標楷體" w:eastAsia="標楷體" w:hAnsi="標楷體" w:cs="Cambria Math"/>
          <w:color w:val="000000" w:themeColor="text1"/>
        </w:rPr>
        <w:t>R¹_{</w:t>
      </w:r>
      <w:proofErr w:type="gramStart"/>
      <w:r w:rsidRPr="00E327D6">
        <w:rPr>
          <w:rFonts w:ascii="標楷體" w:eastAsia="標楷體" w:hAnsi="標楷體" w:cs="Cambria Math"/>
          <w:color w:val="000000" w:themeColor="text1"/>
        </w:rPr>
        <w:t>i,j</w:t>
      </w:r>
      <w:proofErr w:type="gramEnd"/>
      <w:r w:rsidRPr="00E327D6">
        <w:rPr>
          <w:rFonts w:ascii="標楷體" w:eastAsia="標楷體" w:hAnsi="標楷體" w:cs="Cambria Math"/>
          <w:color w:val="000000" w:themeColor="text1"/>
        </w:rPr>
        <w:t>} = |V^{1,j}_i ∩ V^{1,i}_j| / min( |V^{1,j}_i|, |V^{1,i}_j| )</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此一公式在形式上即 Ravasz et al.（2002）為代謝網路階層組織分析所提出的 Hub Promoted Index（HPI）——該指標最初是為了「在兩節點配對時讓大度 hub 的影響被壓抑、突顯小度節點對整體模組的依附」而刻意使用 min 分母。HPI 原本是一個有明確語意目的的不對稱指標，並非一般用途的鄰居相似度量。</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以具體數值對照其他 [0, 1] 值域的局部相似度指標，可直觀看出 min 分母的放大效應。設連結 (u, v) 的端點度為 d_u = 5、d_v = 100，且 u 的 5 個鄰居全部落在 v 的 100 個鄰居中，則：</w:t>
      </w:r>
    </w:p>
    <w:p w:rsidR="007E1872" w:rsidRPr="00E327D6" w:rsidRDefault="00523B3D">
      <w:pPr>
        <w:spacing w:before="60" w:after="60" w:line="320" w:lineRule="auto"/>
        <w:ind w:left="720" w:hanging="360"/>
        <w:jc w:val="both"/>
        <w:rPr>
          <w:rFonts w:ascii="標楷體" w:eastAsia="標楷體" w:hAnsi="標楷體"/>
          <w:color w:val="000000" w:themeColor="text1"/>
        </w:rPr>
      </w:pPr>
      <w:r w:rsidRPr="00E327D6">
        <w:rPr>
          <w:rFonts w:ascii="標楷體" w:eastAsia="標楷體" w:hAnsi="標楷體"/>
          <w:color w:val="000000" w:themeColor="text1"/>
        </w:rPr>
        <w:t xml:space="preserve">•  HPI      = 5 / </w:t>
      </w:r>
      <w:proofErr w:type="gramStart"/>
      <w:r w:rsidRPr="00E327D6">
        <w:rPr>
          <w:rFonts w:ascii="標楷體" w:eastAsia="標楷體" w:hAnsi="標楷體"/>
          <w:color w:val="000000" w:themeColor="text1"/>
        </w:rPr>
        <w:t>min(</w:t>
      </w:r>
      <w:proofErr w:type="gramEnd"/>
      <w:r w:rsidRPr="00E327D6">
        <w:rPr>
          <w:rFonts w:ascii="標楷體" w:eastAsia="標楷體" w:hAnsi="標楷體"/>
          <w:color w:val="000000" w:themeColor="text1"/>
        </w:rPr>
        <w:t>5, 100)   = 5 / 5     = 1.000</w:t>
      </w:r>
    </w:p>
    <w:p w:rsidR="007E1872" w:rsidRPr="00E327D6" w:rsidRDefault="00523B3D">
      <w:pPr>
        <w:spacing w:before="60" w:after="60" w:line="320" w:lineRule="auto"/>
        <w:ind w:left="720" w:hanging="360"/>
        <w:jc w:val="both"/>
        <w:rPr>
          <w:rFonts w:ascii="標楷體" w:eastAsia="標楷體" w:hAnsi="標楷體"/>
          <w:color w:val="000000" w:themeColor="text1"/>
        </w:rPr>
      </w:pP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 xml:space="preserve">  Jaccard   = 5 / (5 + 100 </w:t>
      </w:r>
      <w:r w:rsidRPr="00E327D6">
        <w:rPr>
          <w:rFonts w:ascii="MS Mincho" w:eastAsia="MS Mincho" w:hAnsi="MS Mincho" w:cs="MS Mincho" w:hint="eastAsia"/>
          <w:color w:val="000000" w:themeColor="text1"/>
        </w:rPr>
        <w:t>−</w:t>
      </w:r>
      <w:r w:rsidRPr="00E327D6">
        <w:rPr>
          <w:rFonts w:ascii="標楷體" w:eastAsia="標楷體" w:hAnsi="標楷體"/>
          <w:color w:val="000000" w:themeColor="text1"/>
        </w:rPr>
        <w:t xml:space="preserve"> 5) = 5 / 100  = 0.050  （Jaccard, 1901）</w:t>
      </w:r>
    </w:p>
    <w:p w:rsidR="007E1872" w:rsidRPr="00E327D6" w:rsidRDefault="00523B3D">
      <w:pPr>
        <w:spacing w:before="60" w:after="60" w:line="320" w:lineRule="auto"/>
        <w:ind w:left="720" w:hanging="360"/>
        <w:jc w:val="both"/>
        <w:rPr>
          <w:rFonts w:ascii="標楷體" w:eastAsia="標楷體" w:hAnsi="標楷體"/>
          <w:color w:val="000000" w:themeColor="text1"/>
        </w:rPr>
      </w:pP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 xml:space="preserve">  Salton    = 5 / √(5 × 100)   = 5 / 22.36 </w:t>
      </w:r>
      <w:r w:rsidRPr="00E327D6">
        <w:rPr>
          <w:rFonts w:eastAsia="標楷體"/>
          <w:color w:val="000000" w:themeColor="text1"/>
        </w:rPr>
        <w:t>≈</w:t>
      </w:r>
      <w:r w:rsidRPr="00E327D6">
        <w:rPr>
          <w:rFonts w:ascii="標楷體" w:eastAsia="標楷體" w:hAnsi="標楷體"/>
          <w:color w:val="000000" w:themeColor="text1"/>
        </w:rPr>
        <w:t xml:space="preserve"> 0.224  （Salton &amp; McGill, 1983）</w:t>
      </w:r>
    </w:p>
    <w:p w:rsidR="007E1872" w:rsidRPr="00E327D6" w:rsidRDefault="00523B3D">
      <w:pPr>
        <w:spacing w:before="60" w:after="60" w:line="320" w:lineRule="auto"/>
        <w:ind w:left="720" w:hanging="360"/>
        <w:jc w:val="both"/>
        <w:rPr>
          <w:rFonts w:ascii="標楷體" w:eastAsia="標楷體" w:hAnsi="標楷體"/>
          <w:color w:val="000000" w:themeColor="text1"/>
        </w:rPr>
      </w:pPr>
      <w:r w:rsidRPr="00E327D6">
        <w:rPr>
          <w:rFonts w:ascii="標楷體" w:eastAsia="標楷體" w:hAnsi="標楷體"/>
          <w:color w:val="000000" w:themeColor="text1"/>
        </w:rPr>
        <w:t xml:space="preserve">•  </w:t>
      </w:r>
      <w:proofErr w:type="gramStart"/>
      <w:r w:rsidRPr="00E327D6">
        <w:rPr>
          <w:rFonts w:ascii="標楷體" w:eastAsia="標楷體" w:hAnsi="標楷體"/>
          <w:color w:val="000000" w:themeColor="text1"/>
        </w:rPr>
        <w:t>Sørensen  =</w:t>
      </w:r>
      <w:proofErr w:type="gramEnd"/>
      <w:r w:rsidRPr="00E327D6">
        <w:rPr>
          <w:rFonts w:ascii="標楷體" w:eastAsia="標楷體" w:hAnsi="標楷體"/>
          <w:color w:val="000000" w:themeColor="text1"/>
        </w:rPr>
        <w:t xml:space="preserve"> 2·5 / (5 + 100)  = 10 / 105 </w:t>
      </w:r>
      <w:r w:rsidRPr="00E327D6">
        <w:rPr>
          <w:rFonts w:eastAsia="標楷體"/>
          <w:color w:val="000000" w:themeColor="text1"/>
        </w:rPr>
        <w:t>≈</w:t>
      </w:r>
      <w:r w:rsidRPr="00E327D6">
        <w:rPr>
          <w:rFonts w:ascii="標楷體" w:eastAsia="標楷體" w:hAnsi="標楷體"/>
          <w:color w:val="000000" w:themeColor="text1"/>
        </w:rPr>
        <w:t xml:space="preserve"> 0.095  （Sørensen, 1948）</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此數值對照揭示：HPI 在 hub 與低度節點配對上，即使兩端整體鄰居結構差距懸殊（hub 的 95 個鄰居完全未被共享），仍會給出「完全相似」的讀數 1.0。其他採用對稱分母的指標——Jaccard（聯集）、Salton（幾何平均）、Sørensen（算術平均）——則給出顯著較低、且與鄰居結構實際重合程度較一致的數值。</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此一</w:t>
      </w:r>
      <w:proofErr w:type="gramStart"/>
      <w:r w:rsidRPr="00E327D6">
        <w:rPr>
          <w:rFonts w:ascii="標楷體" w:eastAsia="標楷體" w:hAnsi="標楷體"/>
          <w:color w:val="000000" w:themeColor="text1"/>
        </w:rPr>
        <w:t>結構偏誤具有</w:t>
      </w:r>
      <w:proofErr w:type="gramEnd"/>
      <w:r w:rsidRPr="00E327D6">
        <w:rPr>
          <w:rFonts w:ascii="標楷體" w:eastAsia="標楷體" w:hAnsi="標楷體"/>
          <w:color w:val="000000" w:themeColor="text1"/>
        </w:rPr>
        <w:t>「度分佈依賴性」：在 Watts-Strogatz 6-regular 小世界起點上，因所有節點度數均勻，min(a, b) 與 √(a</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b) 差距極小，故 HPI 與 Salton 表現接</w:t>
      </w:r>
      <w:r w:rsidRPr="00E327D6">
        <w:rPr>
          <w:rFonts w:ascii="標楷體" w:eastAsia="標楷體" w:hAnsi="標楷體"/>
          <w:color w:val="000000" w:themeColor="text1"/>
        </w:rPr>
        <w:lastRenderedPageBreak/>
        <w:t>近（5.1 實驗 WS mean|skew| 分別為 2.913 與 2.815，差距僅 0.098）；但在具有 hub-leaf 共存的真實網路上（REAL16），min 分母的偏誤被放大——HETA mean|skew| 為 1.294，cosHETA 降至 1.072，near-symmetric 的網路數量由 4 增至 7，high-skew 的網路由 8 降至 6。</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就本質而言，HPI 本身作為 Ravasz 等人為特定目的設計的 hub-promoted 指標並無錯誤；問題在於 HETA 將其移植為 Step 2 與 Step 3 所依賴的「一般用途」連結強度指標，並搭配假設近似常態的 Mean + 2SD 閾值。這一移植在原論文中並未伴隨對分母對稱性與分佈形狀的討論。</w:t>
      </w:r>
    </w:p>
    <w:p w:rsidR="007E1872" w:rsidRPr="00E327D6" w:rsidRDefault="00523B3D">
      <w:pPr>
        <w:pStyle w:val="2"/>
        <w:rPr>
          <w:rFonts w:ascii="標楷體" w:eastAsia="標楷體" w:hAnsi="標楷體"/>
          <w:color w:val="000000" w:themeColor="text1"/>
        </w:rPr>
      </w:pPr>
      <w:r w:rsidRPr="00E327D6">
        <w:rPr>
          <w:rFonts w:ascii="標楷體" w:eastAsia="標楷體" w:hAnsi="標楷體"/>
          <w:color w:val="000000" w:themeColor="text1"/>
        </w:rPr>
        <w:t>3.3　switching randomization 無法吸收此偏誤</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讀者自然會提出辯護：既然 HETA Step 2 已使用 1,000 個 degree-preserving switching randomization 產生的隨機對照網路作為零模型，那麼「相對於零模型分佈的 Mean + 2·SD 閾值」應已吸收任何結構偏誤。然而此一辯護並不成立。</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switching randomization 的數學核心是：保留每個節點的度數不變，但隨機重新連接邊。此即 Milo et al.（2003）與 Maslov &amp; Sneppen（2002）所形式化的標準演算法。其關鍵特性是 degree-preserving：若原網路具有 hub 節點 v（d_v = 100），則隨機對照網路中 v 仍為 hub（d_v = 100）。因此，HPI 分母的 min 運算在零模型中仍會碰到 hub × 低度節點 的配對，該配對仍會產生系統性的 HPI 偏高。</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換言之，零模型能吸收的是「獨立於度分佈的隨機性」——例如三角閉合密度、聚類係數等。零模型無法吸收的是「由度分佈本身所引致的結構偏誤」——因為度分佈正是被保留的量。HPI 的 min 分母偏誤屬於後者：它的偏誤來源是度分佈的異質性，而度分佈被零模型原樣保留，故偏誤亦被原樣保留。</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 xml:space="preserve">這帶來一個關鍵且不易被察覺的結論：HETA Step 2 計算出的 Mean^k_E(RG) 與 SD^k_E(RG) 本身已內含 HPI </w:t>
      </w:r>
      <w:proofErr w:type="gramStart"/>
      <w:r w:rsidRPr="00E327D6">
        <w:rPr>
          <w:rFonts w:ascii="標楷體" w:eastAsia="標楷體" w:hAnsi="標楷體"/>
          <w:color w:val="000000" w:themeColor="text1"/>
        </w:rPr>
        <w:t>的偏誤</w:t>
      </w:r>
      <w:proofErr w:type="gramEnd"/>
      <w:r w:rsidRPr="00E327D6">
        <w:rPr>
          <w:rFonts w:ascii="標楷體" w:eastAsia="標楷體" w:hAnsi="標楷體"/>
          <w:color w:val="000000" w:themeColor="text1"/>
        </w:rPr>
        <w:t>，使得 Step 2 的「95% 信賴上限」在統計語意上並不等於「常態分佈的 95% 分位數」。此點在原論文及後續引用文獻</w:t>
      </w:r>
      <w:proofErr w:type="gramStart"/>
      <w:r w:rsidRPr="00E327D6">
        <w:rPr>
          <w:rFonts w:ascii="標楷體" w:eastAsia="標楷體" w:hAnsi="標楷體"/>
          <w:color w:val="000000" w:themeColor="text1"/>
        </w:rPr>
        <w:t>中均未被</w:t>
      </w:r>
      <w:proofErr w:type="gramEnd"/>
      <w:r w:rsidRPr="00E327D6">
        <w:rPr>
          <w:rFonts w:ascii="標楷體" w:eastAsia="標楷體" w:hAnsi="標楷體"/>
          <w:color w:val="000000" w:themeColor="text1"/>
        </w:rPr>
        <w:t>系統性地檢視。</w:t>
      </w:r>
    </w:p>
    <w:p w:rsidR="007E1872" w:rsidRPr="00E327D6" w:rsidRDefault="00523B3D">
      <w:pPr>
        <w:pStyle w:val="2"/>
        <w:rPr>
          <w:rFonts w:ascii="標楷體" w:eastAsia="標楷體" w:hAnsi="標楷體"/>
          <w:color w:val="000000" w:themeColor="text1"/>
        </w:rPr>
      </w:pPr>
      <w:r w:rsidRPr="00E327D6">
        <w:rPr>
          <w:rFonts w:ascii="標楷體" w:eastAsia="標楷體" w:hAnsi="標楷體"/>
          <w:color w:val="000000" w:themeColor="text1"/>
        </w:rPr>
        <w:t>3.4　Mean + 2</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SD 閾值的常態假設與其失效</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HETA Step 2 的外部</w:t>
      </w:r>
      <w:proofErr w:type="gramStart"/>
      <w:r w:rsidRPr="00E327D6">
        <w:rPr>
          <w:rFonts w:ascii="標楷體" w:eastAsia="標楷體" w:hAnsi="標楷體"/>
          <w:color w:val="000000" w:themeColor="text1"/>
        </w:rPr>
        <w:t>閾</w:t>
      </w:r>
      <w:proofErr w:type="gramEnd"/>
      <w:r w:rsidRPr="00E327D6">
        <w:rPr>
          <w:rFonts w:ascii="標楷體" w:eastAsia="標楷體" w:hAnsi="標楷體"/>
          <w:color w:val="000000" w:themeColor="text1"/>
        </w:rPr>
        <w:t>值設計為 T^k_E = Mean^k_E + 2 · SD^k_E。原論文明確寫道：</w:t>
      </w:r>
      <w:r w:rsidRPr="00E327D6">
        <w:rPr>
          <w:rFonts w:ascii="標楷體" w:eastAsia="標楷體" w:hAnsi="標楷體"/>
          <w:color w:val="000000" w:themeColor="text1"/>
        </w:rPr>
        <w:lastRenderedPageBreak/>
        <w:t>「…假設隨機網路的取樣分佈是均勻（uniform）的，意味著連結的 R 值將近似於外部平均</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 xml:space="preserve">—統計上，95% 的 R 值應落在 Mean_E </w:t>
      </w:r>
      <w:r w:rsidRPr="00E327D6">
        <w:rPr>
          <w:rFonts w:ascii="MS Mincho" w:eastAsia="MS Mincho" w:hAnsi="MS Mincho" w:cs="MS Mincho" w:hint="eastAsia"/>
          <w:color w:val="000000" w:themeColor="text1"/>
        </w:rPr>
        <w:t>−</w:t>
      </w:r>
      <w:r w:rsidRPr="00E327D6">
        <w:rPr>
          <w:rFonts w:ascii="標楷體" w:eastAsia="標楷體" w:hAnsi="標楷體"/>
          <w:color w:val="000000" w:themeColor="text1"/>
        </w:rPr>
        <w:t xml:space="preserve"> 2SD_E 與 Mean_E + 2SD_E 之間…」這段陳述援引的即是著名的 68-95-99.7 法則（D'Agostino &amp; Stephens, 1986）。</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68-95-99.7 法則的成立有三個必要前提：</w:t>
      </w:r>
    </w:p>
    <w:p w:rsidR="007E1872" w:rsidRPr="00E327D6" w:rsidRDefault="00523B3D">
      <w:pPr>
        <w:spacing w:before="60" w:after="60" w:line="320" w:lineRule="auto"/>
        <w:ind w:left="720" w:hanging="360"/>
        <w:jc w:val="both"/>
        <w:rPr>
          <w:rFonts w:ascii="標楷體" w:eastAsia="標楷體" w:hAnsi="標楷體"/>
          <w:color w:val="000000" w:themeColor="text1"/>
        </w:rPr>
      </w:pP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 xml:space="preserve">  </w:t>
      </w:r>
      <w:r w:rsidRPr="00E327D6">
        <w:rPr>
          <w:rFonts w:ascii="標楷體" w:eastAsia="標楷體" w:hAnsi="標楷體"/>
          <w:b/>
          <w:bCs/>
          <w:color w:val="000000" w:themeColor="text1"/>
        </w:rPr>
        <w:t>（1）近似常態：</w:t>
      </w:r>
      <w:r w:rsidRPr="00E327D6">
        <w:rPr>
          <w:rFonts w:ascii="標楷體" w:eastAsia="標楷體" w:hAnsi="標楷體"/>
          <w:color w:val="000000" w:themeColor="text1"/>
        </w:rPr>
        <w:t>分佈形狀須</w:t>
      </w:r>
      <w:proofErr w:type="gramStart"/>
      <w:r w:rsidRPr="00E327D6">
        <w:rPr>
          <w:rFonts w:ascii="標楷體" w:eastAsia="標楷體" w:hAnsi="標楷體"/>
          <w:color w:val="000000" w:themeColor="text1"/>
        </w:rPr>
        <w:t>近似鐘形</w:t>
      </w:r>
      <w:proofErr w:type="gramEnd"/>
      <w:r w:rsidRPr="00E327D6">
        <w:rPr>
          <w:rFonts w:ascii="標楷體" w:eastAsia="標楷體" w:hAnsi="標楷體"/>
          <w:color w:val="000000" w:themeColor="text1"/>
        </w:rPr>
        <w:t>，單峰、對稱。</w:t>
      </w:r>
    </w:p>
    <w:p w:rsidR="007E1872" w:rsidRPr="00E327D6" w:rsidRDefault="00523B3D">
      <w:pPr>
        <w:spacing w:before="60" w:after="60" w:line="320" w:lineRule="auto"/>
        <w:ind w:left="720" w:hanging="360"/>
        <w:jc w:val="both"/>
        <w:rPr>
          <w:rFonts w:ascii="標楷體" w:eastAsia="標楷體" w:hAnsi="標楷體"/>
          <w:color w:val="000000" w:themeColor="text1"/>
        </w:rPr>
      </w:pP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 xml:space="preserve">  </w:t>
      </w:r>
      <w:r w:rsidRPr="00E327D6">
        <w:rPr>
          <w:rFonts w:ascii="標楷體" w:eastAsia="標楷體" w:hAnsi="標楷體"/>
          <w:b/>
          <w:bCs/>
          <w:color w:val="000000" w:themeColor="text1"/>
        </w:rPr>
        <w:t>（2）無界或</w:t>
      </w:r>
      <w:proofErr w:type="gramStart"/>
      <w:r w:rsidRPr="00E327D6">
        <w:rPr>
          <w:rFonts w:ascii="標楷體" w:eastAsia="標楷體" w:hAnsi="標楷體"/>
          <w:b/>
          <w:bCs/>
          <w:color w:val="000000" w:themeColor="text1"/>
        </w:rPr>
        <w:t>雙側對</w:t>
      </w:r>
      <w:proofErr w:type="gramEnd"/>
      <w:r w:rsidRPr="00E327D6">
        <w:rPr>
          <w:rFonts w:ascii="標楷體" w:eastAsia="標楷體" w:hAnsi="標楷體"/>
          <w:b/>
          <w:bCs/>
          <w:color w:val="000000" w:themeColor="text1"/>
        </w:rPr>
        <w:t>稱截斷：</w:t>
      </w:r>
      <w:r w:rsidRPr="00E327D6">
        <w:rPr>
          <w:rFonts w:ascii="標楷體" w:eastAsia="標楷體" w:hAnsi="標楷體"/>
          <w:color w:val="000000" w:themeColor="text1"/>
        </w:rPr>
        <w:t>若分佈有界，兩端截斷須對稱，否則涵蓋率不等於 95%。</w:t>
      </w:r>
    </w:p>
    <w:p w:rsidR="007E1872" w:rsidRPr="00E327D6" w:rsidRDefault="00523B3D">
      <w:pPr>
        <w:spacing w:before="60" w:after="60" w:line="320" w:lineRule="auto"/>
        <w:ind w:left="720" w:hanging="360"/>
        <w:jc w:val="both"/>
        <w:rPr>
          <w:rFonts w:ascii="標楷體" w:eastAsia="標楷體" w:hAnsi="標楷體"/>
          <w:color w:val="000000" w:themeColor="text1"/>
        </w:rPr>
      </w:pP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 xml:space="preserve">  </w:t>
      </w:r>
      <w:r w:rsidRPr="00E327D6">
        <w:rPr>
          <w:rFonts w:ascii="標楷體" w:eastAsia="標楷體" w:hAnsi="標楷體"/>
          <w:b/>
          <w:bCs/>
          <w:color w:val="000000" w:themeColor="text1"/>
        </w:rPr>
        <w:t>（3）</w:t>
      </w:r>
      <w:proofErr w:type="gramStart"/>
      <w:r w:rsidRPr="00E327D6">
        <w:rPr>
          <w:rFonts w:ascii="標楷體" w:eastAsia="標楷體" w:hAnsi="標楷體"/>
          <w:b/>
          <w:bCs/>
          <w:color w:val="000000" w:themeColor="text1"/>
        </w:rPr>
        <w:t>無厚</w:t>
      </w:r>
      <w:proofErr w:type="gramEnd"/>
      <w:r w:rsidRPr="00E327D6">
        <w:rPr>
          <w:rFonts w:ascii="標楷體" w:eastAsia="標楷體" w:hAnsi="標楷體"/>
          <w:b/>
          <w:bCs/>
          <w:color w:val="000000" w:themeColor="text1"/>
        </w:rPr>
        <w:t>尾：</w:t>
      </w:r>
      <w:r w:rsidRPr="00E327D6">
        <w:rPr>
          <w:rFonts w:ascii="標楷體" w:eastAsia="標楷體" w:hAnsi="標楷體"/>
          <w:color w:val="000000" w:themeColor="text1"/>
        </w:rPr>
        <w:t>超越 μ + 2σ 的機率應近似常態分佈，而</w:t>
      </w:r>
      <w:proofErr w:type="gramStart"/>
      <w:r w:rsidRPr="00E327D6">
        <w:rPr>
          <w:rFonts w:ascii="標楷體" w:eastAsia="標楷體" w:hAnsi="標楷體"/>
          <w:color w:val="000000" w:themeColor="text1"/>
        </w:rPr>
        <w:t>非重尾分佈</w:t>
      </w:r>
      <w:proofErr w:type="gramEnd"/>
      <w:r w:rsidRPr="00E327D6">
        <w:rPr>
          <w:rFonts w:ascii="標楷體" w:eastAsia="標楷體" w:hAnsi="標楷體"/>
          <w:color w:val="000000" w:themeColor="text1"/>
        </w:rPr>
        <w:t>的 power-law 衰減。</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HPI 在度異質網路上違反三項前提中的至少兩項：</w:t>
      </w:r>
    </w:p>
    <w:p w:rsidR="007E1872" w:rsidRPr="00E327D6" w:rsidRDefault="00523B3D">
      <w:pPr>
        <w:spacing w:before="60" w:after="60" w:line="320" w:lineRule="auto"/>
        <w:ind w:left="720" w:hanging="360"/>
        <w:jc w:val="both"/>
        <w:rPr>
          <w:rFonts w:ascii="標楷體" w:eastAsia="標楷體" w:hAnsi="標楷體"/>
          <w:color w:val="000000" w:themeColor="text1"/>
        </w:rPr>
      </w:pP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 xml:space="preserve">  </w:t>
      </w:r>
      <w:r w:rsidRPr="00E327D6">
        <w:rPr>
          <w:rFonts w:ascii="標楷體" w:eastAsia="標楷體" w:hAnsi="標楷體"/>
          <w:b/>
          <w:bCs/>
          <w:color w:val="000000" w:themeColor="text1"/>
        </w:rPr>
        <w:t>違反（1）：</w:t>
      </w:r>
      <w:r w:rsidRPr="00E327D6">
        <w:rPr>
          <w:rFonts w:ascii="標楷體" w:eastAsia="標楷體" w:hAnsi="標楷體"/>
          <w:color w:val="000000" w:themeColor="text1"/>
        </w:rPr>
        <w:t>如 3.2 所述，HPI 呈現向 1 的系統性偏移，skewness 為顯著正值（本研究實測 WS 2.69</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3.04、NW 1.12–2.92、REAL16 多數 &gt; 1）。</w:t>
      </w:r>
    </w:p>
    <w:p w:rsidR="007E1872" w:rsidRPr="00E327D6" w:rsidRDefault="00523B3D">
      <w:pPr>
        <w:spacing w:before="60" w:after="60" w:line="320" w:lineRule="auto"/>
        <w:ind w:left="720" w:hanging="360"/>
        <w:jc w:val="both"/>
        <w:rPr>
          <w:rFonts w:ascii="標楷體" w:eastAsia="標楷體" w:hAnsi="標楷體"/>
          <w:color w:val="000000" w:themeColor="text1"/>
        </w:rPr>
      </w:pP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 xml:space="preserve">  </w:t>
      </w:r>
      <w:r w:rsidRPr="00E327D6">
        <w:rPr>
          <w:rFonts w:ascii="標楷體" w:eastAsia="標楷體" w:hAnsi="標楷體"/>
          <w:b/>
          <w:bCs/>
          <w:color w:val="000000" w:themeColor="text1"/>
        </w:rPr>
        <w:t>違反（2）：</w:t>
      </w:r>
      <w:r w:rsidRPr="00E327D6">
        <w:rPr>
          <w:rFonts w:ascii="標楷體" w:eastAsia="標楷體" w:hAnsi="標楷體"/>
          <w:color w:val="000000" w:themeColor="text1"/>
        </w:rPr>
        <w:t xml:space="preserve">HPI </w:t>
      </w:r>
      <w:proofErr w:type="gramStart"/>
      <w:r w:rsidRPr="00E327D6">
        <w:rPr>
          <w:rFonts w:ascii="標楷體" w:eastAsia="標楷體" w:hAnsi="標楷體"/>
          <w:color w:val="000000" w:themeColor="text1"/>
        </w:rPr>
        <w:t>值域嚴格</w:t>
      </w:r>
      <w:proofErr w:type="gramEnd"/>
      <w:r w:rsidRPr="00E327D6">
        <w:rPr>
          <w:rFonts w:ascii="標楷體" w:eastAsia="標楷體" w:hAnsi="標楷體"/>
          <w:color w:val="000000" w:themeColor="text1"/>
        </w:rPr>
        <w:t>限於 [0, 1]，右側截斷於 1，且相當一部分樣本聚集於邊界，形成非對稱的 boundary mass。</w:t>
      </w:r>
    </w:p>
    <w:p w:rsidR="007E1872" w:rsidRPr="00E327D6" w:rsidRDefault="00523B3D">
      <w:pPr>
        <w:spacing w:before="60" w:after="60" w:line="320" w:lineRule="auto"/>
        <w:ind w:left="720" w:hanging="360"/>
        <w:jc w:val="both"/>
        <w:rPr>
          <w:rFonts w:ascii="標楷體" w:eastAsia="標楷體" w:hAnsi="標楷體"/>
          <w:color w:val="000000" w:themeColor="text1"/>
        </w:rPr>
      </w:pP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 xml:space="preserve">  </w:t>
      </w:r>
      <w:r w:rsidRPr="00E327D6">
        <w:rPr>
          <w:rFonts w:ascii="標楷體" w:eastAsia="標楷體" w:hAnsi="標楷體"/>
          <w:b/>
          <w:bCs/>
          <w:color w:val="000000" w:themeColor="text1"/>
        </w:rPr>
        <w:t>可能違反（3）：</w:t>
      </w:r>
      <w:proofErr w:type="gramStart"/>
      <w:r w:rsidRPr="00E327D6">
        <w:rPr>
          <w:rFonts w:ascii="標楷體" w:eastAsia="標楷體" w:hAnsi="標楷體"/>
          <w:color w:val="000000" w:themeColor="text1"/>
        </w:rPr>
        <w:t>由於值域截斷</w:t>
      </w:r>
      <w:proofErr w:type="gramEnd"/>
      <w:r w:rsidRPr="00E327D6">
        <w:rPr>
          <w:rFonts w:ascii="標楷體" w:eastAsia="標楷體" w:hAnsi="標楷體"/>
          <w:color w:val="000000" w:themeColor="text1"/>
        </w:rPr>
        <w:t>，傳統意義的「</w:t>
      </w:r>
      <w:proofErr w:type="gramStart"/>
      <w:r w:rsidRPr="00E327D6">
        <w:rPr>
          <w:rFonts w:ascii="標楷體" w:eastAsia="標楷體" w:hAnsi="標楷體"/>
          <w:color w:val="000000" w:themeColor="text1"/>
        </w:rPr>
        <w:t>厚</w:t>
      </w:r>
      <w:proofErr w:type="gramEnd"/>
      <w:r w:rsidRPr="00E327D6">
        <w:rPr>
          <w:rFonts w:ascii="標楷體" w:eastAsia="標楷體" w:hAnsi="標楷體"/>
          <w:color w:val="000000" w:themeColor="text1"/>
        </w:rPr>
        <w:t>尾」不存在；但 excess kurtosis 仍可能為顯著正值，反映分佈形狀偏離常態。</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在違反這些前提的情況下，Mean + 2</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SD 所計算出的閾值其「</w:t>
      </w:r>
      <w:proofErr w:type="gramStart"/>
      <w:r w:rsidRPr="00E327D6">
        <w:rPr>
          <w:rFonts w:ascii="標楷體" w:eastAsia="標楷體" w:hAnsi="標楷體"/>
          <w:color w:val="000000" w:themeColor="text1"/>
        </w:rPr>
        <w:t>右</w:t>
      </w:r>
      <w:proofErr w:type="gramEnd"/>
      <w:r w:rsidRPr="00E327D6">
        <w:rPr>
          <w:rFonts w:ascii="標楷體" w:eastAsia="標楷體" w:hAnsi="標楷體"/>
          <w:color w:val="000000" w:themeColor="text1"/>
        </w:rPr>
        <w:t>尾 2.275% 機率」的語意即失效。具體而言，令 T = μ + 2σ：</w:t>
      </w:r>
    </w:p>
    <w:p w:rsidR="007E1872" w:rsidRPr="00E327D6" w:rsidRDefault="00523B3D">
      <w:pPr>
        <w:spacing w:before="60" w:after="60" w:line="320" w:lineRule="auto"/>
        <w:ind w:left="720" w:hanging="360"/>
        <w:jc w:val="both"/>
        <w:rPr>
          <w:rFonts w:ascii="標楷體" w:eastAsia="標楷體" w:hAnsi="標楷體"/>
          <w:color w:val="000000" w:themeColor="text1"/>
        </w:rPr>
      </w:pP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 xml:space="preserve">  當 skew &gt; 0 時，P(R &gt; T) 通常 &lt; 2.275%，即實際涵蓋率 cov_pct 系統性低於名義 95%——此為 WS／NW 實驗的典型情境。</w:t>
      </w:r>
    </w:p>
    <w:p w:rsidR="007E1872" w:rsidRPr="00E327D6" w:rsidRDefault="00523B3D">
      <w:pPr>
        <w:spacing w:before="60" w:after="60" w:line="320" w:lineRule="auto"/>
        <w:ind w:left="720" w:hanging="360"/>
        <w:jc w:val="both"/>
        <w:rPr>
          <w:rFonts w:ascii="標楷體" w:eastAsia="標楷體" w:hAnsi="標楷體"/>
          <w:color w:val="000000" w:themeColor="text1"/>
        </w:rPr>
      </w:pP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 xml:space="preserve">  當 μ + 2σ &gt; 1 時，由於 R 不可能超過 1，</w:t>
      </w:r>
      <w:proofErr w:type="gramStart"/>
      <w:r w:rsidRPr="00E327D6">
        <w:rPr>
          <w:rFonts w:ascii="標楷體" w:eastAsia="標楷體" w:hAnsi="標楷體"/>
          <w:color w:val="000000" w:themeColor="text1"/>
        </w:rPr>
        <w:t>閾值</w:t>
      </w:r>
      <w:proofErr w:type="gramEnd"/>
      <w:r w:rsidRPr="00E327D6">
        <w:rPr>
          <w:rFonts w:ascii="標楷體" w:eastAsia="標楷體" w:hAnsi="標楷體"/>
          <w:color w:val="000000" w:themeColor="text1"/>
        </w:rPr>
        <w:t>被截斷為 T = min(μ + 2σ, 1)，對應</w:t>
      </w:r>
      <w:proofErr w:type="gramStart"/>
      <w:r w:rsidRPr="00E327D6">
        <w:rPr>
          <w:rFonts w:ascii="標楷體" w:eastAsia="標楷體" w:hAnsi="標楷體"/>
          <w:color w:val="000000" w:themeColor="text1"/>
        </w:rPr>
        <w:t>的右尾機</w:t>
      </w:r>
      <w:proofErr w:type="gramEnd"/>
      <w:r w:rsidRPr="00E327D6">
        <w:rPr>
          <w:rFonts w:ascii="標楷體" w:eastAsia="標楷體" w:hAnsi="標楷體"/>
          <w:color w:val="000000" w:themeColor="text1"/>
        </w:rPr>
        <w:t>率大幅下降，cov_pct 反而可能被推高至 100%——此為 REAL16 部分小型緊密網路的情境（women、karate、ragusa16 皆觀察到 100% cov_pct）。</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無論偏離方向為何，「Mean + 2</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SD 涵蓋 95%」的字面解釋皆無法在 HETA 的實際資料上成立。</w:t>
      </w:r>
    </w:p>
    <w:p w:rsidR="007E1872" w:rsidRPr="00E327D6" w:rsidRDefault="00523B3D">
      <w:pPr>
        <w:pStyle w:val="2"/>
        <w:rPr>
          <w:rFonts w:ascii="標楷體" w:eastAsia="標楷體" w:hAnsi="標楷體"/>
          <w:color w:val="000000" w:themeColor="text1"/>
        </w:rPr>
      </w:pPr>
      <w:r w:rsidRPr="00E327D6">
        <w:rPr>
          <w:rFonts w:ascii="標楷體" w:eastAsia="標楷體" w:hAnsi="標楷體"/>
          <w:color w:val="000000" w:themeColor="text1"/>
        </w:rPr>
        <w:t xml:space="preserve">3.5　</w:t>
      </w:r>
      <w:proofErr w:type="gramStart"/>
      <w:r w:rsidRPr="00E327D6">
        <w:rPr>
          <w:rFonts w:ascii="標楷體" w:eastAsia="標楷體" w:hAnsi="標楷體"/>
          <w:color w:val="000000" w:themeColor="text1"/>
        </w:rPr>
        <w:t>錯配的</w:t>
      </w:r>
      <w:proofErr w:type="gramEnd"/>
      <w:r w:rsidRPr="00E327D6">
        <w:rPr>
          <w:rFonts w:ascii="標楷體" w:eastAsia="標楷體" w:hAnsi="標楷體"/>
          <w:color w:val="000000" w:themeColor="text1"/>
        </w:rPr>
        <w:t>嚴重性：實證量化摘要</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為將 3.1</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3.4 的觀察落實為可量化、可對比的數據，我們於 pilot 規模（num_nulls = 10）執行完整 48 個 (網路 × 分母) 樣本的統計檢定，主要結果摘要如表 3.1。完</w:t>
      </w:r>
      <w:r w:rsidRPr="00E327D6">
        <w:rPr>
          <w:rFonts w:ascii="標楷體" w:eastAsia="標楷體" w:hAnsi="標楷體"/>
          <w:color w:val="000000" w:themeColor="text1"/>
        </w:rPr>
        <w:lastRenderedPageBreak/>
        <w:t>整細節列於第五章第 5.1 節。</w:t>
      </w:r>
    </w:p>
    <w:p w:rsidR="007E1872" w:rsidRPr="00E327D6" w:rsidRDefault="00523B3D">
      <w:pPr>
        <w:spacing w:before="80" w:after="120"/>
        <w:jc w:val="center"/>
        <w:rPr>
          <w:rFonts w:ascii="標楷體" w:eastAsia="標楷體" w:hAnsi="標楷體"/>
          <w:color w:val="000000" w:themeColor="text1"/>
        </w:rPr>
      </w:pPr>
      <w:r w:rsidRPr="00E327D6">
        <w:rPr>
          <w:rFonts w:ascii="標楷體" w:eastAsia="標楷體" w:hAnsi="標楷體"/>
          <w:b/>
          <w:bCs/>
          <w:color w:val="000000" w:themeColor="text1"/>
          <w:sz w:val="22"/>
          <w:szCs w:val="22"/>
        </w:rPr>
        <w:t xml:space="preserve">表 3.1　R¹ </w:t>
      </w:r>
      <w:proofErr w:type="gramStart"/>
      <w:r w:rsidRPr="00E327D6">
        <w:rPr>
          <w:rFonts w:ascii="標楷體" w:eastAsia="標楷體" w:hAnsi="標楷體"/>
          <w:b/>
          <w:bCs/>
          <w:color w:val="000000" w:themeColor="text1"/>
          <w:sz w:val="22"/>
          <w:szCs w:val="22"/>
        </w:rPr>
        <w:t>分佈正態性</w:t>
      </w:r>
      <w:proofErr w:type="gramEnd"/>
      <w:r w:rsidRPr="00E327D6">
        <w:rPr>
          <w:rFonts w:ascii="標楷體" w:eastAsia="標楷體" w:hAnsi="標楷體"/>
          <w:b/>
          <w:bCs/>
          <w:color w:val="000000" w:themeColor="text1"/>
          <w:sz w:val="22"/>
          <w:szCs w:val="22"/>
        </w:rPr>
        <w:t>檢定摘要（HPI vs. Salton</w:t>
      </w:r>
      <w:proofErr w:type="gramStart"/>
      <w:r w:rsidRPr="00E327D6">
        <w:rPr>
          <w:rFonts w:ascii="標楷體" w:eastAsia="標楷體" w:hAnsi="標楷體"/>
          <w:b/>
          <w:bCs/>
          <w:color w:val="000000" w:themeColor="text1"/>
          <w:sz w:val="22"/>
          <w:szCs w:val="22"/>
        </w:rPr>
        <w:t>）</w:t>
      </w:r>
      <w:proofErr w:type="gramEnd"/>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1500"/>
        <w:gridCol w:w="1100"/>
        <w:gridCol w:w="1500"/>
        <w:gridCol w:w="1600"/>
        <w:gridCol w:w="1800"/>
        <w:gridCol w:w="1860"/>
      </w:tblGrid>
      <w:tr w:rsidR="003401B4" w:rsidRPr="00E327D6">
        <w:trPr>
          <w:tblHeader/>
        </w:trPr>
        <w:tc>
          <w:tcPr>
            <w:tcW w:w="1500" w:type="dxa"/>
            <w:shd w:val="clear" w:color="auto" w:fill="D9E2F3"/>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b/>
                <w:bCs/>
                <w:color w:val="000000" w:themeColor="text1"/>
                <w:sz w:val="20"/>
                <w:szCs w:val="20"/>
              </w:rPr>
              <w:t>群組</w:t>
            </w:r>
          </w:p>
        </w:tc>
        <w:tc>
          <w:tcPr>
            <w:tcW w:w="1100" w:type="dxa"/>
            <w:shd w:val="clear" w:color="auto" w:fill="D9E2F3"/>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b/>
                <w:bCs/>
                <w:color w:val="000000" w:themeColor="text1"/>
                <w:sz w:val="20"/>
                <w:szCs w:val="20"/>
              </w:rPr>
              <w:t>分母</w:t>
            </w:r>
          </w:p>
        </w:tc>
        <w:tc>
          <w:tcPr>
            <w:tcW w:w="1500" w:type="dxa"/>
            <w:shd w:val="clear" w:color="auto" w:fill="D9E2F3"/>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b/>
                <w:bCs/>
                <w:color w:val="000000" w:themeColor="text1"/>
                <w:sz w:val="20"/>
                <w:szCs w:val="20"/>
              </w:rPr>
              <w:t>near-sym (|s|&lt;0.5)</w:t>
            </w:r>
          </w:p>
        </w:tc>
        <w:tc>
          <w:tcPr>
            <w:tcW w:w="1600" w:type="dxa"/>
            <w:shd w:val="clear" w:color="auto" w:fill="D9E2F3"/>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b/>
                <w:bCs/>
                <w:color w:val="000000" w:themeColor="text1"/>
                <w:sz w:val="20"/>
                <w:szCs w:val="20"/>
              </w:rPr>
              <w:t>moderate (0.5–1)</w:t>
            </w:r>
          </w:p>
        </w:tc>
        <w:tc>
          <w:tcPr>
            <w:tcW w:w="1800" w:type="dxa"/>
            <w:shd w:val="clear" w:color="auto" w:fill="D9E2F3"/>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b/>
                <w:bCs/>
                <w:color w:val="000000" w:themeColor="text1"/>
                <w:sz w:val="20"/>
                <w:szCs w:val="20"/>
              </w:rPr>
              <w:t>high-skew (</w:t>
            </w:r>
            <w:r w:rsidRPr="00E327D6">
              <w:rPr>
                <w:rFonts w:eastAsia="標楷體"/>
                <w:b/>
                <w:bCs/>
                <w:color w:val="000000" w:themeColor="text1"/>
                <w:sz w:val="20"/>
                <w:szCs w:val="20"/>
              </w:rPr>
              <w:t>≥</w:t>
            </w:r>
            <w:r w:rsidRPr="00E327D6">
              <w:rPr>
                <w:rFonts w:ascii="標楷體" w:eastAsia="標楷體" w:hAnsi="標楷體"/>
                <w:b/>
                <w:bCs/>
                <w:color w:val="000000" w:themeColor="text1"/>
                <w:sz w:val="20"/>
                <w:szCs w:val="20"/>
              </w:rPr>
              <w:t>1)</w:t>
            </w:r>
          </w:p>
        </w:tc>
        <w:tc>
          <w:tcPr>
            <w:tcW w:w="1860" w:type="dxa"/>
            <w:shd w:val="clear" w:color="auto" w:fill="D9E2F3"/>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b/>
                <w:bCs/>
                <w:color w:val="000000" w:themeColor="text1"/>
                <w:sz w:val="20"/>
                <w:szCs w:val="20"/>
              </w:rPr>
              <w:t>mean(skew)</w:t>
            </w:r>
          </w:p>
        </w:tc>
      </w:tr>
      <w:tr w:rsidR="003401B4" w:rsidRPr="00E327D6">
        <w:tc>
          <w:tcPr>
            <w:tcW w:w="15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WS (16 p)</w:t>
            </w:r>
          </w:p>
        </w:tc>
        <w:tc>
          <w:tcPr>
            <w:tcW w:w="11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min (HPI)</w:t>
            </w:r>
          </w:p>
        </w:tc>
        <w:tc>
          <w:tcPr>
            <w:tcW w:w="15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0</w:t>
            </w:r>
          </w:p>
        </w:tc>
        <w:tc>
          <w:tcPr>
            <w:tcW w:w="16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0</w:t>
            </w:r>
          </w:p>
        </w:tc>
        <w:tc>
          <w:tcPr>
            <w:tcW w:w="18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16</w:t>
            </w:r>
          </w:p>
        </w:tc>
        <w:tc>
          <w:tcPr>
            <w:tcW w:w="186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2.913</w:t>
            </w:r>
          </w:p>
        </w:tc>
      </w:tr>
      <w:tr w:rsidR="003401B4" w:rsidRPr="00E327D6">
        <w:tc>
          <w:tcPr>
            <w:tcW w:w="15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WS (16 p)</w:t>
            </w:r>
          </w:p>
        </w:tc>
        <w:tc>
          <w:tcPr>
            <w:tcW w:w="11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sqrt (Salton)</w:t>
            </w:r>
          </w:p>
        </w:tc>
        <w:tc>
          <w:tcPr>
            <w:tcW w:w="15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0</w:t>
            </w:r>
          </w:p>
        </w:tc>
        <w:tc>
          <w:tcPr>
            <w:tcW w:w="16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0</w:t>
            </w:r>
          </w:p>
        </w:tc>
        <w:tc>
          <w:tcPr>
            <w:tcW w:w="18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16</w:t>
            </w:r>
          </w:p>
        </w:tc>
        <w:tc>
          <w:tcPr>
            <w:tcW w:w="186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2.815</w:t>
            </w:r>
          </w:p>
        </w:tc>
      </w:tr>
      <w:tr w:rsidR="003401B4" w:rsidRPr="00E327D6">
        <w:tc>
          <w:tcPr>
            <w:tcW w:w="15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NW (16 p)</w:t>
            </w:r>
          </w:p>
        </w:tc>
        <w:tc>
          <w:tcPr>
            <w:tcW w:w="11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min (HPI)</w:t>
            </w:r>
          </w:p>
        </w:tc>
        <w:tc>
          <w:tcPr>
            <w:tcW w:w="15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0</w:t>
            </w:r>
          </w:p>
        </w:tc>
        <w:tc>
          <w:tcPr>
            <w:tcW w:w="16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0</w:t>
            </w:r>
          </w:p>
        </w:tc>
        <w:tc>
          <w:tcPr>
            <w:tcW w:w="18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16</w:t>
            </w:r>
          </w:p>
        </w:tc>
        <w:tc>
          <w:tcPr>
            <w:tcW w:w="186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2.250</w:t>
            </w:r>
          </w:p>
        </w:tc>
      </w:tr>
      <w:tr w:rsidR="003401B4" w:rsidRPr="00E327D6">
        <w:tc>
          <w:tcPr>
            <w:tcW w:w="15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NW (16 p)</w:t>
            </w:r>
          </w:p>
        </w:tc>
        <w:tc>
          <w:tcPr>
            <w:tcW w:w="11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sqrt (Salton)</w:t>
            </w:r>
          </w:p>
        </w:tc>
        <w:tc>
          <w:tcPr>
            <w:tcW w:w="15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0</w:t>
            </w:r>
          </w:p>
        </w:tc>
        <w:tc>
          <w:tcPr>
            <w:tcW w:w="16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0</w:t>
            </w:r>
          </w:p>
        </w:tc>
        <w:tc>
          <w:tcPr>
            <w:tcW w:w="18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16</w:t>
            </w:r>
          </w:p>
        </w:tc>
        <w:tc>
          <w:tcPr>
            <w:tcW w:w="186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2.234</w:t>
            </w:r>
          </w:p>
        </w:tc>
      </w:tr>
      <w:tr w:rsidR="003401B4" w:rsidRPr="00E327D6">
        <w:tc>
          <w:tcPr>
            <w:tcW w:w="15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REAL16</w:t>
            </w:r>
          </w:p>
        </w:tc>
        <w:tc>
          <w:tcPr>
            <w:tcW w:w="11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min (HPI)</w:t>
            </w:r>
          </w:p>
        </w:tc>
        <w:tc>
          <w:tcPr>
            <w:tcW w:w="15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4</w:t>
            </w:r>
          </w:p>
        </w:tc>
        <w:tc>
          <w:tcPr>
            <w:tcW w:w="16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4</w:t>
            </w:r>
          </w:p>
        </w:tc>
        <w:tc>
          <w:tcPr>
            <w:tcW w:w="18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8</w:t>
            </w:r>
          </w:p>
        </w:tc>
        <w:tc>
          <w:tcPr>
            <w:tcW w:w="186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1.223</w:t>
            </w:r>
          </w:p>
        </w:tc>
      </w:tr>
      <w:tr w:rsidR="003401B4" w:rsidRPr="00E327D6">
        <w:tc>
          <w:tcPr>
            <w:tcW w:w="1500" w:type="dxa"/>
            <w:shd w:val="clear" w:color="auto" w:fill="E2EFD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REAL16</w:t>
            </w:r>
          </w:p>
        </w:tc>
        <w:tc>
          <w:tcPr>
            <w:tcW w:w="1100" w:type="dxa"/>
            <w:shd w:val="clear" w:color="auto" w:fill="E2EFD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sqrt (Salton)</w:t>
            </w:r>
          </w:p>
        </w:tc>
        <w:tc>
          <w:tcPr>
            <w:tcW w:w="1500" w:type="dxa"/>
            <w:shd w:val="clear" w:color="auto" w:fill="E2EFD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7</w:t>
            </w:r>
          </w:p>
        </w:tc>
        <w:tc>
          <w:tcPr>
            <w:tcW w:w="1600" w:type="dxa"/>
            <w:shd w:val="clear" w:color="auto" w:fill="E2EFD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3</w:t>
            </w:r>
          </w:p>
        </w:tc>
        <w:tc>
          <w:tcPr>
            <w:tcW w:w="1800" w:type="dxa"/>
            <w:shd w:val="clear" w:color="auto" w:fill="E2EFD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6</w:t>
            </w:r>
          </w:p>
        </w:tc>
        <w:tc>
          <w:tcPr>
            <w:tcW w:w="1860" w:type="dxa"/>
            <w:shd w:val="clear" w:color="auto" w:fill="E2EFD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0.986</w:t>
            </w:r>
          </w:p>
        </w:tc>
      </w:tr>
    </w:tbl>
    <w:p w:rsidR="007E1872" w:rsidRPr="00E327D6" w:rsidRDefault="00523B3D">
      <w:pPr>
        <w:spacing w:before="60" w:after="120" w:line="360" w:lineRule="auto"/>
        <w:jc w:val="both"/>
        <w:rPr>
          <w:rFonts w:ascii="標楷體" w:eastAsia="標楷體" w:hAnsi="標楷體"/>
          <w:color w:val="000000" w:themeColor="text1"/>
        </w:rPr>
      </w:pPr>
      <w:proofErr w:type="gramStart"/>
      <w:r w:rsidRPr="00E327D6">
        <w:rPr>
          <w:rFonts w:ascii="標楷體" w:eastAsia="標楷體" w:hAnsi="標楷體"/>
          <w:color w:val="000000" w:themeColor="text1"/>
        </w:rPr>
        <w:t>此表揭示</w:t>
      </w:r>
      <w:proofErr w:type="gramEnd"/>
      <w:r w:rsidRPr="00E327D6">
        <w:rPr>
          <w:rFonts w:ascii="標楷體" w:eastAsia="標楷體" w:hAnsi="標楷體"/>
          <w:color w:val="000000" w:themeColor="text1"/>
        </w:rPr>
        <w:t xml:space="preserve">三項關鍵觀察：（1）在 6-regular 起點的 WS／NW 小世界網路上，min 與 sqrt </w:t>
      </w:r>
      <w:proofErr w:type="gramStart"/>
      <w:r w:rsidRPr="00E327D6">
        <w:rPr>
          <w:rFonts w:ascii="標楷體" w:eastAsia="標楷體" w:hAnsi="標楷體"/>
          <w:color w:val="000000" w:themeColor="text1"/>
        </w:rPr>
        <w:t>的偏度差距</w:t>
      </w:r>
      <w:proofErr w:type="gramEnd"/>
      <w:r w:rsidRPr="00E327D6">
        <w:rPr>
          <w:rFonts w:ascii="標楷體" w:eastAsia="標楷體" w:hAnsi="標楷體"/>
          <w:color w:val="000000" w:themeColor="text1"/>
        </w:rPr>
        <w:t xml:space="preserve">極小（ΔmeanSkew 分別為 0.098 與 0.016），此為 AM-GM 不等式在度數均勻時 min(a, b) </w:t>
      </w:r>
      <w:r w:rsidRPr="00E327D6">
        <w:rPr>
          <w:rFonts w:eastAsia="標楷體"/>
          <w:color w:val="000000" w:themeColor="text1"/>
        </w:rPr>
        <w:t>≈</w:t>
      </w:r>
      <w:r w:rsidRPr="00E327D6">
        <w:rPr>
          <w:rFonts w:ascii="標楷體" w:eastAsia="標楷體" w:hAnsi="標楷體"/>
          <w:color w:val="000000" w:themeColor="text1"/>
        </w:rPr>
        <w:t xml:space="preserve"> </w:t>
      </w:r>
      <w:r w:rsidRPr="00E327D6">
        <w:rPr>
          <w:rFonts w:ascii="標楷體" w:eastAsia="標楷體" w:hAnsi="標楷體" w:cs="標楷體" w:hint="eastAsia"/>
          <w:color w:val="000000" w:themeColor="text1"/>
        </w:rPr>
        <w:t>√</w:t>
      </w:r>
      <w:r w:rsidRPr="00E327D6">
        <w:rPr>
          <w:rFonts w:ascii="標楷體" w:eastAsia="標楷體" w:hAnsi="標楷體"/>
          <w:color w:val="000000" w:themeColor="text1"/>
        </w:rPr>
        <w:t>(a</w:t>
      </w:r>
      <w:r w:rsidRPr="00E327D6">
        <w:rPr>
          <w:rFonts w:ascii="標楷體" w:eastAsia="標楷體" w:hAnsi="標楷體" w:cs="標楷體" w:hint="eastAsia"/>
          <w:color w:val="000000" w:themeColor="text1"/>
        </w:rPr>
        <w:t>·</w:t>
      </w:r>
      <w:r w:rsidRPr="00E327D6">
        <w:rPr>
          <w:rFonts w:ascii="標楷體" w:eastAsia="標楷體" w:hAnsi="標楷體"/>
          <w:color w:val="000000" w:themeColor="text1"/>
        </w:rPr>
        <w:t xml:space="preserve">b) 的數學必然結果；（2）在度分佈異質的 REAL16 上，sqrt 將 mean|skew| 由 1.294 降至 1.072（17% 改善），near-symmetric 網路由 4 增至 7，high-skew 網路由 8 降至 6，統計顯著地修復分佈形狀；（3）所有 48 </w:t>
      </w:r>
      <w:proofErr w:type="gramStart"/>
      <w:r w:rsidRPr="00E327D6">
        <w:rPr>
          <w:rFonts w:ascii="標楷體" w:eastAsia="標楷體" w:hAnsi="標楷體"/>
          <w:color w:val="000000" w:themeColor="text1"/>
        </w:rPr>
        <w:t>個</w:t>
      </w:r>
      <w:proofErr w:type="gramEnd"/>
      <w:r w:rsidRPr="00E327D6">
        <w:rPr>
          <w:rFonts w:ascii="標楷體" w:eastAsia="標楷體" w:hAnsi="標楷體"/>
          <w:color w:val="000000" w:themeColor="text1"/>
        </w:rPr>
        <w:t xml:space="preserve">樣本的 Shapiro-Wilk 與 Anderson-Darling 一致拒絕常態，拒絕力度極大（p </w:t>
      </w:r>
      <w:r w:rsidRPr="00E327D6">
        <w:rPr>
          <w:rFonts w:ascii="Cambria Math" w:eastAsia="標楷體" w:hAnsi="Cambria Math" w:cs="Cambria Math"/>
          <w:color w:val="000000" w:themeColor="text1"/>
        </w:rPr>
        <w:t>≪</w:t>
      </w:r>
      <w:r w:rsidRPr="00E327D6">
        <w:rPr>
          <w:rFonts w:ascii="標楷體" w:eastAsia="標楷體" w:hAnsi="標楷體"/>
          <w:color w:val="000000" w:themeColor="text1"/>
        </w:rPr>
        <w:t xml:space="preserve"> 10</w:t>
      </w:r>
      <w:r w:rsidRPr="00E327D6">
        <w:rPr>
          <w:rFonts w:ascii="MS Mincho" w:eastAsia="MS Mincho" w:hAnsi="MS Mincho" w:cs="MS Mincho" w:hint="eastAsia"/>
          <w:color w:val="000000" w:themeColor="text1"/>
        </w:rPr>
        <w:t>⁻⁶</w:t>
      </w:r>
      <w:r w:rsidRPr="00E327D6">
        <w:rPr>
          <w:rFonts w:ascii="標楷體" w:eastAsia="標楷體" w:hAnsi="標楷體"/>
          <w:color w:val="000000" w:themeColor="text1"/>
        </w:rPr>
        <w:t>），這表示即使 Salton 分母大幅改善偏度，嚴格意義的常態假設在 HETA 資料規模下仍無法全然成立。</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 xml:space="preserve">上述觀察為本研究的動機提供了完整的實證支撐：HETA 框架中 HPI 相似度與 Mean + 2SD </w:t>
      </w:r>
      <w:proofErr w:type="gramStart"/>
      <w:r w:rsidRPr="00E327D6">
        <w:rPr>
          <w:rFonts w:ascii="標楷體" w:eastAsia="標楷體" w:hAnsi="標楷體"/>
          <w:color w:val="000000" w:themeColor="text1"/>
        </w:rPr>
        <w:t>閾</w:t>
      </w:r>
      <w:proofErr w:type="gramEnd"/>
      <w:r w:rsidRPr="00E327D6">
        <w:rPr>
          <w:rFonts w:ascii="標楷體" w:eastAsia="標楷體" w:hAnsi="標楷體"/>
          <w:color w:val="000000" w:themeColor="text1"/>
        </w:rPr>
        <w:t>值的組合，在「度分佈異質」的網路上（此為絕大多數實證網路的共性）構成一個可量化、可修復的</w:t>
      </w:r>
      <w:proofErr w:type="gramStart"/>
      <w:r w:rsidRPr="00E327D6">
        <w:rPr>
          <w:rFonts w:ascii="標楷體" w:eastAsia="標楷體" w:hAnsi="標楷體"/>
          <w:color w:val="000000" w:themeColor="text1"/>
        </w:rPr>
        <w:t>方法論錯</w:t>
      </w:r>
      <w:proofErr w:type="gramEnd"/>
      <w:r w:rsidRPr="00E327D6">
        <w:rPr>
          <w:rFonts w:ascii="標楷體" w:eastAsia="標楷體" w:hAnsi="標楷體"/>
          <w:color w:val="000000" w:themeColor="text1"/>
        </w:rPr>
        <w:t>配。修復</w:t>
      </w:r>
      <w:proofErr w:type="gramStart"/>
      <w:r w:rsidRPr="00E327D6">
        <w:rPr>
          <w:rFonts w:ascii="標楷體" w:eastAsia="標楷體" w:hAnsi="標楷體"/>
          <w:color w:val="000000" w:themeColor="text1"/>
        </w:rPr>
        <w:t>此錯配並不</w:t>
      </w:r>
      <w:proofErr w:type="gramEnd"/>
      <w:r w:rsidRPr="00E327D6">
        <w:rPr>
          <w:rFonts w:ascii="標楷體" w:eastAsia="標楷體" w:hAnsi="標楷體"/>
          <w:color w:val="000000" w:themeColor="text1"/>
        </w:rPr>
        <w:t>需要推翻 HETA 的整體設計，只需將 Step 1 的分母由 min 置換為 √（即 Salton Index），即可在不改動 Step 2 零模型、Step 3 分類邏輯與 Algorithm 2 社群分割的前提下，有效修復</w:t>
      </w:r>
      <w:proofErr w:type="gramStart"/>
      <w:r w:rsidRPr="00E327D6">
        <w:rPr>
          <w:rFonts w:ascii="標楷體" w:eastAsia="標楷體" w:hAnsi="標楷體"/>
          <w:color w:val="000000" w:themeColor="text1"/>
        </w:rPr>
        <w:t>分佈正態</w:t>
      </w:r>
      <w:proofErr w:type="gramEnd"/>
      <w:r w:rsidRPr="00E327D6">
        <w:rPr>
          <w:rFonts w:ascii="標楷體" w:eastAsia="標楷體" w:hAnsi="標楷體"/>
          <w:color w:val="000000" w:themeColor="text1"/>
        </w:rPr>
        <w:t>性、並為</w:t>
      </w:r>
      <w:proofErr w:type="gramStart"/>
      <w:r w:rsidRPr="00E327D6">
        <w:rPr>
          <w:rFonts w:ascii="標楷體" w:eastAsia="標楷體" w:hAnsi="標楷體"/>
          <w:color w:val="000000" w:themeColor="text1"/>
        </w:rPr>
        <w:t>下游</w:t>
      </w:r>
      <w:proofErr w:type="gramEnd"/>
      <w:r w:rsidRPr="00E327D6">
        <w:rPr>
          <w:rFonts w:ascii="標楷體" w:eastAsia="標楷體" w:hAnsi="標楷體"/>
          <w:color w:val="000000" w:themeColor="text1"/>
        </w:rPr>
        <w:t>社群偵測提供更合理的統計基礎。第四章將展開此修復方案與對應的驗證實驗設計。</w:t>
      </w:r>
    </w:p>
    <w:p w:rsidR="007E1872" w:rsidRPr="00E327D6" w:rsidRDefault="00523B3D">
      <w:pPr>
        <w:pStyle w:val="1"/>
        <w:pageBreakBefore/>
        <w:rPr>
          <w:rFonts w:ascii="標楷體" w:eastAsia="標楷體" w:hAnsi="標楷體"/>
          <w:color w:val="000000" w:themeColor="text1"/>
        </w:rPr>
      </w:pPr>
      <w:r w:rsidRPr="00E327D6">
        <w:rPr>
          <w:rFonts w:ascii="標楷體" w:eastAsia="標楷體" w:hAnsi="標楷體"/>
          <w:color w:val="000000" w:themeColor="text1"/>
        </w:rPr>
        <w:lastRenderedPageBreak/>
        <w:t>第四章　研究方法與實驗設計</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本章首先提出基於 Salton（Cosine）Index 的最小修改修復方案（稱為 cosHETA），並正面處理「為何選 Salton 而非其他相似度指標」的質疑；隨後依循 論文脈絡.txt 所規劃的「</w:t>
      </w:r>
      <w:proofErr w:type="gramStart"/>
      <w:r w:rsidRPr="00E327D6">
        <w:rPr>
          <w:rFonts w:ascii="標楷體" w:eastAsia="標楷體" w:hAnsi="標楷體"/>
          <w:color w:val="000000" w:themeColor="text1"/>
        </w:rPr>
        <w:t>錯配</w:t>
      </w:r>
      <w:proofErr w:type="gramEnd"/>
      <w:r w:rsidRPr="00E327D6">
        <w:rPr>
          <w:rFonts w:ascii="標楷體" w:eastAsia="標楷體" w:hAnsi="標楷體"/>
          <w:color w:val="000000" w:themeColor="text1"/>
        </w:rPr>
        <w:t xml:space="preserve"> → 診斷 → 修復 → 驗證」證據鏈，設計一套完整的實驗驗證方案，並整合本研究已完成的 pilot 實驗與規劃中的正式實驗。</w:t>
      </w:r>
    </w:p>
    <w:p w:rsidR="007E1872" w:rsidRPr="00E327D6" w:rsidRDefault="00523B3D">
      <w:pPr>
        <w:pStyle w:val="2"/>
        <w:rPr>
          <w:rFonts w:ascii="標楷體" w:eastAsia="標楷體" w:hAnsi="標楷體"/>
          <w:color w:val="000000" w:themeColor="text1"/>
        </w:rPr>
      </w:pPr>
      <w:r w:rsidRPr="00E327D6">
        <w:rPr>
          <w:rFonts w:ascii="標楷體" w:eastAsia="標楷體" w:hAnsi="標楷體"/>
          <w:color w:val="000000" w:themeColor="text1"/>
        </w:rPr>
        <w:t>4.1　修復方案：cosHETA（Salton Index 替換）</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本研究提出的修復極為簡潔：將 HETA Step 1 中所有 min(</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 分母替換為 √(· × ·)（幾何平均），即 Salton／Cosine Index（Salton &amp; McGill, 1983）。其餘演算法邏輯完全保留。</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b/>
          <w:bCs/>
          <w:color w:val="000000" w:themeColor="text1"/>
        </w:rPr>
        <w:t>第一層公式</w:t>
      </w:r>
      <w:proofErr w:type="gramStart"/>
      <w:r w:rsidRPr="00E327D6">
        <w:rPr>
          <w:rFonts w:ascii="標楷體" w:eastAsia="標楷體" w:hAnsi="標楷體"/>
          <w:b/>
          <w:bCs/>
          <w:color w:val="000000" w:themeColor="text1"/>
        </w:rPr>
        <w:t>（</w:t>
      </w:r>
      <w:proofErr w:type="gramEnd"/>
      <w:r w:rsidRPr="00E327D6">
        <w:rPr>
          <w:rFonts w:ascii="標楷體" w:eastAsia="標楷體" w:hAnsi="標楷體"/>
          <w:b/>
          <w:bCs/>
          <w:color w:val="000000" w:themeColor="text1"/>
        </w:rPr>
        <w:t>cosHETA 版，對比 Eq. 2.1</w:t>
      </w:r>
      <w:proofErr w:type="gramStart"/>
      <w:r w:rsidRPr="00E327D6">
        <w:rPr>
          <w:rFonts w:ascii="標楷體" w:eastAsia="標楷體" w:hAnsi="標楷體"/>
          <w:b/>
          <w:bCs/>
          <w:color w:val="000000" w:themeColor="text1"/>
        </w:rPr>
        <w:t>）</w:t>
      </w:r>
      <w:proofErr w:type="gramEnd"/>
      <w:r w:rsidRPr="00E327D6">
        <w:rPr>
          <w:rFonts w:ascii="標楷體" w:eastAsia="標楷體" w:hAnsi="標楷體"/>
          <w:b/>
          <w:bCs/>
          <w:color w:val="000000" w:themeColor="text1"/>
        </w:rPr>
        <w:t>：</w:t>
      </w:r>
    </w:p>
    <w:p w:rsidR="007E1872" w:rsidRPr="00E327D6" w:rsidRDefault="00523B3D">
      <w:pPr>
        <w:spacing w:before="120" w:after="120"/>
        <w:jc w:val="center"/>
        <w:rPr>
          <w:rFonts w:ascii="標楷體" w:eastAsia="標楷體" w:hAnsi="標楷體"/>
          <w:color w:val="000000" w:themeColor="text1"/>
        </w:rPr>
      </w:pPr>
      <w:r w:rsidRPr="00E327D6">
        <w:rPr>
          <w:rFonts w:ascii="標楷體" w:eastAsia="標楷體" w:hAnsi="標楷體" w:cs="Cambria Math"/>
          <w:color w:val="000000" w:themeColor="text1"/>
        </w:rPr>
        <w:t>R̃¹_{</w:t>
      </w:r>
      <w:proofErr w:type="gramStart"/>
      <w:r w:rsidRPr="00E327D6">
        <w:rPr>
          <w:rFonts w:ascii="標楷體" w:eastAsia="標楷體" w:hAnsi="標楷體" w:cs="Cambria Math"/>
          <w:color w:val="000000" w:themeColor="text1"/>
        </w:rPr>
        <w:t>i,j</w:t>
      </w:r>
      <w:proofErr w:type="gramEnd"/>
      <w:r w:rsidRPr="00E327D6">
        <w:rPr>
          <w:rFonts w:ascii="標楷體" w:eastAsia="標楷體" w:hAnsi="標楷體" w:cs="Cambria Math"/>
          <w:color w:val="000000" w:themeColor="text1"/>
        </w:rPr>
        <w:t>} = |V^{1,j}_i ∩ V^{1,i}_j| / √( |V^{1,j}_i| · |V^{1,i}_j| )     (4.1)</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b/>
          <w:bCs/>
          <w:color w:val="000000" w:themeColor="text1"/>
        </w:rPr>
        <w:t>第 k 層公式</w:t>
      </w:r>
      <w:proofErr w:type="gramStart"/>
      <w:r w:rsidRPr="00E327D6">
        <w:rPr>
          <w:rFonts w:ascii="標楷體" w:eastAsia="標楷體" w:hAnsi="標楷體"/>
          <w:b/>
          <w:bCs/>
          <w:color w:val="000000" w:themeColor="text1"/>
        </w:rPr>
        <w:t>（</w:t>
      </w:r>
      <w:proofErr w:type="gramEnd"/>
      <w:r w:rsidRPr="00E327D6">
        <w:rPr>
          <w:rFonts w:ascii="標楷體" w:eastAsia="標楷體" w:hAnsi="標楷體"/>
          <w:b/>
          <w:bCs/>
          <w:color w:val="000000" w:themeColor="text1"/>
        </w:rPr>
        <w:t>cosHETA 版，對比 Eq. 2.2</w:t>
      </w:r>
      <w:proofErr w:type="gramStart"/>
      <w:r w:rsidRPr="00E327D6">
        <w:rPr>
          <w:rFonts w:ascii="標楷體" w:eastAsia="標楷體" w:hAnsi="標楷體"/>
          <w:b/>
          <w:bCs/>
          <w:color w:val="000000" w:themeColor="text1"/>
        </w:rPr>
        <w:t>）</w:t>
      </w:r>
      <w:proofErr w:type="gramEnd"/>
      <w:r w:rsidRPr="00E327D6">
        <w:rPr>
          <w:rFonts w:ascii="標楷體" w:eastAsia="標楷體" w:hAnsi="標楷體"/>
          <w:b/>
          <w:bCs/>
          <w:color w:val="000000" w:themeColor="text1"/>
        </w:rPr>
        <w:t>：</w:t>
      </w:r>
    </w:p>
    <w:p w:rsidR="007E1872" w:rsidRPr="00E327D6" w:rsidRDefault="00523B3D">
      <w:pPr>
        <w:spacing w:before="120" w:after="120"/>
        <w:jc w:val="center"/>
        <w:rPr>
          <w:rFonts w:ascii="標楷體" w:eastAsia="標楷體" w:hAnsi="標楷體"/>
          <w:color w:val="000000" w:themeColor="text1"/>
        </w:rPr>
      </w:pPr>
      <w:r w:rsidRPr="00E327D6">
        <w:rPr>
          <w:rFonts w:ascii="標楷體" w:eastAsia="標楷體" w:hAnsi="標楷體" w:cs="Cambria Math"/>
          <w:color w:val="000000" w:themeColor="text1"/>
        </w:rPr>
        <w:t>R̃^k_{i,j} = [|V^{k,j}_i ∩ V^{k,i}_j| + |V^{k,j}_i ∩ V^{k</w:t>
      </w:r>
      <w:r w:rsidRPr="00E327D6">
        <w:rPr>
          <w:rFonts w:ascii="MS Mincho" w:eastAsia="MS Mincho" w:hAnsi="MS Mincho" w:cs="MS Mincho" w:hint="eastAsia"/>
          <w:color w:val="000000" w:themeColor="text1"/>
        </w:rPr>
        <w:t>−</w:t>
      </w:r>
      <w:r w:rsidRPr="00E327D6">
        <w:rPr>
          <w:rFonts w:ascii="標楷體" w:eastAsia="標楷體" w:hAnsi="標楷體" w:cs="Cambria Math"/>
          <w:color w:val="000000" w:themeColor="text1"/>
        </w:rPr>
        <w:t>1,i}_j| + |V^{k</w:t>
      </w:r>
      <w:r w:rsidRPr="00E327D6">
        <w:rPr>
          <w:rFonts w:ascii="MS Mincho" w:eastAsia="MS Mincho" w:hAnsi="MS Mincho" w:cs="MS Mincho" w:hint="eastAsia"/>
          <w:color w:val="000000" w:themeColor="text1"/>
        </w:rPr>
        <w:t>−</w:t>
      </w:r>
      <w:r w:rsidRPr="00E327D6">
        <w:rPr>
          <w:rFonts w:ascii="標楷體" w:eastAsia="標楷體" w:hAnsi="標楷體" w:cs="Cambria Math"/>
          <w:color w:val="000000" w:themeColor="text1"/>
        </w:rPr>
        <w:t xml:space="preserve">1,j}_i </w:t>
      </w:r>
      <w:r w:rsidRPr="00E327D6">
        <w:rPr>
          <w:rFonts w:ascii="標楷體" w:eastAsia="標楷體" w:hAnsi="標楷體" w:cs="標楷體" w:hint="eastAsia"/>
          <w:color w:val="000000" w:themeColor="text1"/>
        </w:rPr>
        <w:t>∩</w:t>
      </w:r>
      <w:r w:rsidRPr="00E327D6">
        <w:rPr>
          <w:rFonts w:ascii="標楷體" w:eastAsia="標楷體" w:hAnsi="標楷體" w:cs="Cambria Math"/>
          <w:color w:val="000000" w:themeColor="text1"/>
        </w:rPr>
        <w:t xml:space="preserve"> V^{k,i}_j|]</w:t>
      </w:r>
    </w:p>
    <w:p w:rsidR="007E1872" w:rsidRPr="00E327D6" w:rsidRDefault="00523B3D">
      <w:pPr>
        <w:spacing w:before="120" w:after="120"/>
        <w:jc w:val="center"/>
        <w:rPr>
          <w:rFonts w:ascii="標楷體" w:eastAsia="標楷體" w:hAnsi="標楷體"/>
          <w:color w:val="000000" w:themeColor="text1"/>
        </w:rPr>
      </w:pPr>
      <w:r w:rsidRPr="00E327D6">
        <w:rPr>
          <w:rFonts w:ascii="標楷體" w:eastAsia="標楷體" w:hAnsi="標楷體" w:cs="Cambria Math"/>
          <w:color w:val="000000" w:themeColor="text1"/>
        </w:rPr>
        <w:t xml:space="preserve">         / [√(|V^{</w:t>
      </w:r>
      <w:proofErr w:type="gramStart"/>
      <w:r w:rsidRPr="00E327D6">
        <w:rPr>
          <w:rFonts w:ascii="標楷體" w:eastAsia="標楷體" w:hAnsi="標楷體" w:cs="Cambria Math"/>
          <w:color w:val="000000" w:themeColor="text1"/>
        </w:rPr>
        <w:t>k,j</w:t>
      </w:r>
      <w:proofErr w:type="gramEnd"/>
      <w:r w:rsidRPr="00E327D6">
        <w:rPr>
          <w:rFonts w:ascii="標楷體" w:eastAsia="標楷體" w:hAnsi="標楷體" w:cs="Cambria Math"/>
          <w:color w:val="000000" w:themeColor="text1"/>
        </w:rPr>
        <w:t>}_i|·|V^{k,i}_j|) + √(|V^{k,j}_i|·|V^{k</w:t>
      </w:r>
      <w:r w:rsidRPr="00E327D6">
        <w:rPr>
          <w:rFonts w:ascii="MS Mincho" w:eastAsia="MS Mincho" w:hAnsi="MS Mincho" w:cs="MS Mincho" w:hint="eastAsia"/>
          <w:color w:val="000000" w:themeColor="text1"/>
        </w:rPr>
        <w:t>−</w:t>
      </w:r>
      <w:r w:rsidRPr="00E327D6">
        <w:rPr>
          <w:rFonts w:ascii="標楷體" w:eastAsia="標楷體" w:hAnsi="標楷體" w:cs="Cambria Math"/>
          <w:color w:val="000000" w:themeColor="text1"/>
        </w:rPr>
        <w:t xml:space="preserve">1,i}_j|) + </w:t>
      </w:r>
      <w:r w:rsidRPr="00E327D6">
        <w:rPr>
          <w:rFonts w:ascii="標楷體" w:eastAsia="標楷體" w:hAnsi="標楷體" w:cs="標楷體" w:hint="eastAsia"/>
          <w:color w:val="000000" w:themeColor="text1"/>
        </w:rPr>
        <w:t>√</w:t>
      </w:r>
      <w:r w:rsidRPr="00E327D6">
        <w:rPr>
          <w:rFonts w:ascii="標楷體" w:eastAsia="標楷體" w:hAnsi="標楷體" w:cs="Cambria Math"/>
          <w:color w:val="000000" w:themeColor="text1"/>
        </w:rPr>
        <w:t>(|V^{k</w:t>
      </w:r>
      <w:r w:rsidRPr="00E327D6">
        <w:rPr>
          <w:rFonts w:ascii="MS Mincho" w:eastAsia="MS Mincho" w:hAnsi="MS Mincho" w:cs="MS Mincho" w:hint="eastAsia"/>
          <w:color w:val="000000" w:themeColor="text1"/>
        </w:rPr>
        <w:t>−</w:t>
      </w:r>
      <w:r w:rsidRPr="00E327D6">
        <w:rPr>
          <w:rFonts w:ascii="標楷體" w:eastAsia="標楷體" w:hAnsi="標楷體" w:cs="Cambria Math"/>
          <w:color w:val="000000" w:themeColor="text1"/>
        </w:rPr>
        <w:t>1,j}_i|</w:t>
      </w:r>
      <w:r w:rsidRPr="00E327D6">
        <w:rPr>
          <w:rFonts w:ascii="標楷體" w:eastAsia="標楷體" w:hAnsi="標楷體" w:cs="標楷體" w:hint="eastAsia"/>
          <w:color w:val="000000" w:themeColor="text1"/>
        </w:rPr>
        <w:t>·</w:t>
      </w:r>
      <w:r w:rsidRPr="00E327D6">
        <w:rPr>
          <w:rFonts w:ascii="標楷體" w:eastAsia="標楷體" w:hAnsi="標楷體" w:cs="Cambria Math"/>
          <w:color w:val="000000" w:themeColor="text1"/>
        </w:rPr>
        <w:t>|V^{k,i}_j|)]     (4.2)</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 xml:space="preserve">我們將採用 (4.1)、(4.2) 的 HETA 變體稱為 </w:t>
      </w:r>
      <w:r w:rsidRPr="00E327D6">
        <w:rPr>
          <w:rFonts w:ascii="標楷體" w:eastAsia="標楷體" w:hAnsi="標楷體"/>
          <w:b/>
          <w:bCs/>
          <w:color w:val="000000" w:themeColor="text1"/>
        </w:rPr>
        <w:t>cosHETA</w:t>
      </w:r>
      <w:r w:rsidRPr="00E327D6">
        <w:rPr>
          <w:rFonts w:ascii="標楷體" w:eastAsia="標楷體" w:hAnsi="標楷體"/>
          <w:color w:val="000000" w:themeColor="text1"/>
        </w:rPr>
        <w:t>。所有演算法其他步驟</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 xml:space="preserve">—包括 Step 2 的 degree-preserving switching randomization（num_nulls = 1000、Q = 100·m）、Step 3 的外部閾值 T^k_E = Mean + 2·SD、內部閾值 T^k_I = Mean </w:t>
      </w:r>
      <w:r w:rsidRPr="00E327D6">
        <w:rPr>
          <w:rFonts w:ascii="MS Mincho" w:eastAsia="MS Mincho" w:hAnsi="MS Mincho" w:cs="MS Mincho" w:hint="eastAsia"/>
          <w:color w:val="000000" w:themeColor="text1"/>
        </w:rPr>
        <w:t>−</w:t>
      </w:r>
      <w:r w:rsidRPr="00E327D6">
        <w:rPr>
          <w:rFonts w:ascii="標楷體" w:eastAsia="標楷體" w:hAnsi="標楷體"/>
          <w:color w:val="000000" w:themeColor="text1"/>
        </w:rPr>
        <w:t xml:space="preserve"> SD 的分類邏輯、以及 Algorithm 2 的階層式遞迴社群分割——</w:t>
      </w:r>
      <w:r w:rsidRPr="00E327D6">
        <w:rPr>
          <w:rFonts w:ascii="標楷體" w:eastAsia="標楷體" w:hAnsi="標楷體"/>
          <w:b/>
          <w:bCs/>
          <w:color w:val="000000" w:themeColor="text1"/>
        </w:rPr>
        <w:t>完全不動</w:t>
      </w:r>
      <w:r w:rsidRPr="00E327D6">
        <w:rPr>
          <w:rFonts w:ascii="標楷體" w:eastAsia="標楷體" w:hAnsi="標楷體"/>
          <w:color w:val="000000" w:themeColor="text1"/>
        </w:rPr>
        <w:t>。此一「最小修改原則」（minimum-modification principle）本身即為本研究貢獻的一部分：它確保了（1）公平比較</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—HPI vs. Salton 的差異在實驗中可被完全隔離；（2）向後相容</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—既有使用 HETA 的研究可以幾乎零成本遷移至 cosHETA；（3）學術禮節</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—保留原框架的完整性，僅更換單一組件。</w:t>
      </w:r>
    </w:p>
    <w:p w:rsidR="007E1872" w:rsidRPr="00E327D6" w:rsidRDefault="00523B3D">
      <w:pPr>
        <w:pStyle w:val="2"/>
        <w:rPr>
          <w:rFonts w:ascii="標楷體" w:eastAsia="標楷體" w:hAnsi="標楷體"/>
          <w:color w:val="000000" w:themeColor="text1"/>
        </w:rPr>
      </w:pPr>
      <w:r w:rsidRPr="00E327D6">
        <w:rPr>
          <w:rFonts w:ascii="標楷體" w:eastAsia="標楷體" w:hAnsi="標楷體"/>
          <w:color w:val="000000" w:themeColor="text1"/>
        </w:rPr>
        <w:t>4.2　為何選 Salton：正面處理指標選擇問題</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讀者可能追問：在眾多相似度指標中，為何選擇 Salton 而非 Jaccard、Sørensen、RA 或 AA？我們以四段式論證說明。</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b/>
          <w:bCs/>
          <w:color w:val="000000" w:themeColor="text1"/>
        </w:rPr>
        <w:lastRenderedPageBreak/>
        <w:t>（1）</w:t>
      </w:r>
      <w:proofErr w:type="gramStart"/>
      <w:r w:rsidRPr="00E327D6">
        <w:rPr>
          <w:rFonts w:ascii="標楷體" w:eastAsia="標楷體" w:hAnsi="標楷體"/>
          <w:b/>
          <w:bCs/>
          <w:color w:val="000000" w:themeColor="text1"/>
        </w:rPr>
        <w:t>值域相容性</w:t>
      </w:r>
      <w:proofErr w:type="gramEnd"/>
      <w:r w:rsidRPr="00E327D6">
        <w:rPr>
          <w:rFonts w:ascii="標楷體" w:eastAsia="標楷體" w:hAnsi="標楷體"/>
          <w:b/>
          <w:bCs/>
          <w:color w:val="000000" w:themeColor="text1"/>
        </w:rPr>
        <w:t>（range compatibility）：</w:t>
      </w:r>
      <w:r w:rsidRPr="00E327D6">
        <w:rPr>
          <w:rFonts w:ascii="標楷體" w:eastAsia="標楷體" w:hAnsi="標楷體"/>
          <w:color w:val="000000" w:themeColor="text1"/>
        </w:rPr>
        <w:t>HETA 的</w:t>
      </w:r>
      <w:proofErr w:type="gramStart"/>
      <w:r w:rsidRPr="00E327D6">
        <w:rPr>
          <w:rFonts w:ascii="標楷體" w:eastAsia="標楷體" w:hAnsi="標楷體"/>
          <w:color w:val="000000" w:themeColor="text1"/>
        </w:rPr>
        <w:t>閾</w:t>
      </w:r>
      <w:proofErr w:type="gramEnd"/>
      <w:r w:rsidRPr="00E327D6">
        <w:rPr>
          <w:rFonts w:ascii="標楷體" w:eastAsia="標楷體" w:hAnsi="標楷體"/>
          <w:color w:val="000000" w:themeColor="text1"/>
        </w:rPr>
        <w:t>值機制建立於 [0, 1] 有</w:t>
      </w:r>
      <w:proofErr w:type="gramStart"/>
      <w:r w:rsidRPr="00E327D6">
        <w:rPr>
          <w:rFonts w:ascii="標楷體" w:eastAsia="標楷體" w:hAnsi="標楷體"/>
          <w:color w:val="000000" w:themeColor="text1"/>
        </w:rPr>
        <w:t>界值域之上—</w:t>
      </w:r>
      <w:proofErr w:type="gramEnd"/>
      <w:r w:rsidRPr="00E327D6">
        <w:rPr>
          <w:rFonts w:ascii="標楷體" w:eastAsia="標楷體" w:hAnsi="標楷體"/>
          <w:color w:val="000000" w:themeColor="text1"/>
        </w:rPr>
        <w:t xml:space="preserve">—外部閾值 T^k_E 與 R^k_{i,j} 皆假設落於 [0, 1]，方可使用「Mean + 2·SD 涵蓋 95%」的語意。九種主流局部相似度指標（CN、Jaccard、Salton、Sørensen、HPI、HDI、LHN1、AA、RA）中，僅 Jaccard、Salton、Sørensen、HPI、HDI 具有 [0, 1] </w:t>
      </w:r>
      <w:proofErr w:type="gramStart"/>
      <w:r w:rsidRPr="00E327D6">
        <w:rPr>
          <w:rFonts w:ascii="標楷體" w:eastAsia="標楷體" w:hAnsi="標楷體"/>
          <w:color w:val="000000" w:themeColor="text1"/>
        </w:rPr>
        <w:t>值域；</w:t>
      </w:r>
      <w:proofErr w:type="gramEnd"/>
      <w:r w:rsidRPr="00E327D6">
        <w:rPr>
          <w:rFonts w:ascii="標楷體" w:eastAsia="標楷體" w:hAnsi="標楷體"/>
          <w:color w:val="000000" w:themeColor="text1"/>
        </w:rPr>
        <w:t>LHN1、AA（Adamic &amp; Adar, 2003）、RA（Zhou, Lü &amp; Zhang, 2009）的</w:t>
      </w:r>
      <w:proofErr w:type="gramStart"/>
      <w:r w:rsidRPr="00E327D6">
        <w:rPr>
          <w:rFonts w:ascii="標楷體" w:eastAsia="標楷體" w:hAnsi="標楷體"/>
          <w:color w:val="000000" w:themeColor="text1"/>
        </w:rPr>
        <w:t>值域為</w:t>
      </w:r>
      <w:proofErr w:type="gramEnd"/>
      <w:r w:rsidRPr="00E327D6">
        <w:rPr>
          <w:rFonts w:ascii="標楷體" w:eastAsia="標楷體" w:hAnsi="標楷體"/>
          <w:color w:val="000000" w:themeColor="text1"/>
        </w:rPr>
        <w:t xml:space="preserve"> [0, ∞)，無法與 HETA 閾值機制直接相容。因此，本研究的替換候選僅限於前五種。</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b/>
          <w:bCs/>
          <w:color w:val="000000" w:themeColor="text1"/>
        </w:rPr>
        <w:t>（2）對稱性與</w:t>
      </w:r>
      <w:proofErr w:type="gramStart"/>
      <w:r w:rsidRPr="00E327D6">
        <w:rPr>
          <w:rFonts w:ascii="標楷體" w:eastAsia="標楷體" w:hAnsi="標楷體"/>
          <w:b/>
          <w:bCs/>
          <w:color w:val="000000" w:themeColor="text1"/>
        </w:rPr>
        <w:t>結構偏誤</w:t>
      </w:r>
      <w:proofErr w:type="gramEnd"/>
      <w:r w:rsidRPr="00E327D6">
        <w:rPr>
          <w:rFonts w:ascii="標楷體" w:eastAsia="標楷體" w:hAnsi="標楷體"/>
          <w:b/>
          <w:bCs/>
          <w:color w:val="000000" w:themeColor="text1"/>
        </w:rPr>
        <w:t>（symmetry）：</w:t>
      </w:r>
      <w:r w:rsidRPr="00E327D6">
        <w:rPr>
          <w:rFonts w:ascii="標楷體" w:eastAsia="標楷體" w:hAnsi="標楷體"/>
          <w:color w:val="000000" w:themeColor="text1"/>
        </w:rPr>
        <w:t xml:space="preserve">在 [0, 1] </w:t>
      </w:r>
      <w:proofErr w:type="gramStart"/>
      <w:r w:rsidRPr="00E327D6">
        <w:rPr>
          <w:rFonts w:ascii="標楷體" w:eastAsia="標楷體" w:hAnsi="標楷體"/>
          <w:color w:val="000000" w:themeColor="text1"/>
        </w:rPr>
        <w:t>值域指標</w:t>
      </w:r>
      <w:proofErr w:type="gramEnd"/>
      <w:r w:rsidRPr="00E327D6">
        <w:rPr>
          <w:rFonts w:ascii="標楷體" w:eastAsia="標楷體" w:hAnsi="標楷體"/>
          <w:color w:val="000000" w:themeColor="text1"/>
        </w:rPr>
        <w:t>中，Jaccard（聯集分母）、Sørensen（算術平均分母）、Salton（幾何平均分母）對兩端度數對稱；HPI（min）與 HDI（max）則非對稱。由第三章的診斷知，非對稱分母是 HETA 問題的核心來源，因此優先考慮對稱型分母。</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b/>
          <w:bCs/>
          <w:color w:val="000000" w:themeColor="text1"/>
        </w:rPr>
        <w:t>（3）分佈特性與常態接近度（distributional fidelity）：</w:t>
      </w:r>
      <w:r w:rsidRPr="00E327D6">
        <w:rPr>
          <w:rFonts w:ascii="標楷體" w:eastAsia="標楷體" w:hAnsi="標楷體"/>
          <w:color w:val="000000" w:themeColor="text1"/>
        </w:rPr>
        <w:t>在 Jaccard、Sørensen、Salton 三者中，Salton 因採用幾何平均 √(a</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 xml:space="preserve">b)，對節點度數差距的容忍性最佳——當 d_u </w:t>
      </w:r>
      <w:r w:rsidRPr="00E327D6">
        <w:rPr>
          <w:rFonts w:ascii="Cambria Math" w:eastAsia="標楷體" w:hAnsi="Cambria Math" w:cs="Cambria Math"/>
          <w:color w:val="000000" w:themeColor="text1"/>
        </w:rPr>
        <w:t>≪</w:t>
      </w:r>
      <w:r w:rsidRPr="00E327D6">
        <w:rPr>
          <w:rFonts w:ascii="標楷體" w:eastAsia="標楷體" w:hAnsi="標楷體"/>
          <w:color w:val="000000" w:themeColor="text1"/>
        </w:rPr>
        <w:t xml:space="preserve"> d_v 時，√(d_u · d_v) 介於 d_u 與 d_v 的算術平均之間，使 R 值既不過度壓低（如 Jaccard 過度受 union 主導而塌向 0），也不會像 HPI 因取 min 而塌向 1。Lü 與 Zhou（2011）的連結預測綜述亦指出 Jaccard 與 Salton 通常給出較平滑、較接近單峰的分佈；HPI 則因 min 分母在度異質網路上產生</w:t>
      </w:r>
      <w:proofErr w:type="gramStart"/>
      <w:r w:rsidRPr="00E327D6">
        <w:rPr>
          <w:rFonts w:ascii="標楷體" w:eastAsia="標楷體" w:hAnsi="標楷體"/>
          <w:color w:val="000000" w:themeColor="text1"/>
        </w:rPr>
        <w:t>明顯右尾集中</w:t>
      </w:r>
      <w:proofErr w:type="gramEnd"/>
      <w:r w:rsidRPr="00E327D6">
        <w:rPr>
          <w:rFonts w:ascii="標楷體" w:eastAsia="標楷體" w:hAnsi="標楷體"/>
          <w:color w:val="000000" w:themeColor="text1"/>
        </w:rPr>
        <w:t>。本研究的實驗也顯示，Salton 在</w:t>
      </w:r>
      <w:proofErr w:type="gramStart"/>
      <w:r w:rsidRPr="00E327D6">
        <w:rPr>
          <w:rFonts w:ascii="標楷體" w:eastAsia="標楷體" w:hAnsi="標楷體"/>
          <w:color w:val="000000" w:themeColor="text1"/>
        </w:rPr>
        <w:t>分佈正態性</w:t>
      </w:r>
      <w:proofErr w:type="gramEnd"/>
      <w:r w:rsidRPr="00E327D6">
        <w:rPr>
          <w:rFonts w:ascii="標楷體" w:eastAsia="標楷體" w:hAnsi="標楷體"/>
          <w:color w:val="000000" w:themeColor="text1"/>
        </w:rPr>
        <w:t>（skewness、kurtosis）與實際涵蓋率兩方面的表現顯著優於 HPI，</w:t>
      </w:r>
      <w:proofErr w:type="gramStart"/>
      <w:r w:rsidRPr="00E327D6">
        <w:rPr>
          <w:rFonts w:ascii="標楷體" w:eastAsia="標楷體" w:hAnsi="標楷體"/>
          <w:color w:val="000000" w:themeColor="text1"/>
        </w:rPr>
        <w:t>亦略優</w:t>
      </w:r>
      <w:proofErr w:type="gramEnd"/>
      <w:r w:rsidRPr="00E327D6">
        <w:rPr>
          <w:rFonts w:ascii="標楷體" w:eastAsia="標楷體" w:hAnsi="標楷體"/>
          <w:color w:val="000000" w:themeColor="text1"/>
        </w:rPr>
        <w:t>於 Jaccard。</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b/>
          <w:bCs/>
          <w:color w:val="000000" w:themeColor="text1"/>
        </w:rPr>
        <w:t>（4）誠實列出替代選項的侷限：</w:t>
      </w:r>
      <w:r w:rsidRPr="00E327D6">
        <w:rPr>
          <w:rFonts w:ascii="標楷體" w:eastAsia="標楷體" w:hAnsi="標楷體"/>
          <w:color w:val="000000" w:themeColor="text1"/>
        </w:rPr>
        <w:t xml:space="preserve">若放寬 [0, 1] </w:t>
      </w:r>
      <w:proofErr w:type="gramStart"/>
      <w:r w:rsidRPr="00E327D6">
        <w:rPr>
          <w:rFonts w:ascii="標楷體" w:eastAsia="標楷體" w:hAnsi="標楷體"/>
          <w:color w:val="000000" w:themeColor="text1"/>
        </w:rPr>
        <w:t>值域約束</w:t>
      </w:r>
      <w:proofErr w:type="gramEnd"/>
      <w:r w:rsidRPr="00E327D6">
        <w:rPr>
          <w:rFonts w:ascii="標楷體" w:eastAsia="標楷體" w:hAnsi="標楷體"/>
          <w:color w:val="000000" w:themeColor="text1"/>
        </w:rPr>
        <w:t>，RA 或 AA 在連結預測 AUC 上常為表現最佳者（Zhou, Lü &amp; Zhang, 2009；Lü &amp; Zhou, 2011</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。然而將 RA／AA 納入 HETA 框架需同時重新設計</w:t>
      </w:r>
      <w:proofErr w:type="gramStart"/>
      <w:r w:rsidRPr="00E327D6">
        <w:rPr>
          <w:rFonts w:ascii="標楷體" w:eastAsia="標楷體" w:hAnsi="標楷體"/>
          <w:color w:val="000000" w:themeColor="text1"/>
        </w:rPr>
        <w:t>閾</w:t>
      </w:r>
      <w:proofErr w:type="gramEnd"/>
      <w:r w:rsidRPr="00E327D6">
        <w:rPr>
          <w:rFonts w:ascii="標楷體" w:eastAsia="標楷體" w:hAnsi="標楷體"/>
          <w:color w:val="000000" w:themeColor="text1"/>
        </w:rPr>
        <w:t xml:space="preserve">值機制（例如採用分位數閾值或 z-分數變換），此超出本研究「最小修改原則」的範圍。我們因此明確將「非 [0, 1] </w:t>
      </w:r>
      <w:proofErr w:type="gramStart"/>
      <w:r w:rsidRPr="00E327D6">
        <w:rPr>
          <w:rFonts w:ascii="標楷體" w:eastAsia="標楷體" w:hAnsi="標楷體"/>
          <w:color w:val="000000" w:themeColor="text1"/>
        </w:rPr>
        <w:t>值域指標</w:t>
      </w:r>
      <w:proofErr w:type="gramEnd"/>
      <w:r w:rsidRPr="00E327D6">
        <w:rPr>
          <w:rFonts w:ascii="標楷體" w:eastAsia="標楷體" w:hAnsi="標楷體"/>
          <w:color w:val="000000" w:themeColor="text1"/>
        </w:rPr>
        <w:t>的整合」列為未來工作。</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綜合而言，Salton 是同時</w:t>
      </w:r>
      <w:proofErr w:type="gramStart"/>
      <w:r w:rsidRPr="00E327D6">
        <w:rPr>
          <w:rFonts w:ascii="標楷體" w:eastAsia="標楷體" w:hAnsi="標楷體"/>
          <w:color w:val="000000" w:themeColor="text1"/>
        </w:rPr>
        <w:t>滿足值域相容</w:t>
      </w:r>
      <w:proofErr w:type="gramEnd"/>
      <w:r w:rsidRPr="00E327D6">
        <w:rPr>
          <w:rFonts w:ascii="標楷體" w:eastAsia="標楷體" w:hAnsi="標楷體"/>
          <w:color w:val="000000" w:themeColor="text1"/>
        </w:rPr>
        <w:t>、對稱性與分佈特性三個條件的唯一選擇，且其幾何平均在 AM-GM 不等式意義下介於 min（HPI）與 max（HDI）</w:t>
      </w:r>
      <w:proofErr w:type="gramStart"/>
      <w:r w:rsidRPr="00E327D6">
        <w:rPr>
          <w:rFonts w:ascii="標楷體" w:eastAsia="標楷體" w:hAnsi="標楷體"/>
          <w:color w:val="000000" w:themeColor="text1"/>
        </w:rPr>
        <w:t>之間</w:t>
      </w:r>
      <w:proofErr w:type="gramEnd"/>
      <w:r w:rsidRPr="00E327D6">
        <w:rPr>
          <w:rFonts w:ascii="標楷體" w:eastAsia="標楷體" w:hAnsi="標楷體"/>
          <w:color w:val="000000" w:themeColor="text1"/>
        </w:rPr>
        <w:t>，是最「中庸」的對稱化方案。</w:t>
      </w:r>
    </w:p>
    <w:p w:rsidR="007E1872" w:rsidRPr="00E327D6" w:rsidRDefault="00523B3D">
      <w:pPr>
        <w:spacing w:before="80" w:after="120"/>
        <w:jc w:val="center"/>
        <w:rPr>
          <w:rFonts w:ascii="標楷體" w:eastAsia="標楷體" w:hAnsi="標楷體"/>
          <w:color w:val="000000" w:themeColor="text1"/>
        </w:rPr>
      </w:pPr>
      <w:r w:rsidRPr="00E327D6">
        <w:rPr>
          <w:rFonts w:ascii="標楷體" w:eastAsia="標楷體" w:hAnsi="標楷體"/>
          <w:b/>
          <w:bCs/>
          <w:color w:val="000000" w:themeColor="text1"/>
          <w:sz w:val="22"/>
          <w:szCs w:val="22"/>
        </w:rPr>
        <w:t>表 4.1　HETA vs. cosHETA 逐項對照</w:t>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2400"/>
        <w:gridCol w:w="2800"/>
        <w:gridCol w:w="3200"/>
        <w:gridCol w:w="960"/>
      </w:tblGrid>
      <w:tr w:rsidR="003401B4" w:rsidRPr="00E327D6">
        <w:trPr>
          <w:tblHeader/>
        </w:trPr>
        <w:tc>
          <w:tcPr>
            <w:tcW w:w="2400" w:type="dxa"/>
            <w:shd w:val="clear" w:color="auto" w:fill="D9E2F3"/>
            <w:tcMar>
              <w:top w:w="80" w:type="dxa"/>
              <w:left w:w="100" w:type="dxa"/>
              <w:bottom w:w="80" w:type="dxa"/>
              <w:right w:w="100" w:type="dxa"/>
            </w:tcMar>
          </w:tcPr>
          <w:p w:rsidR="007E1872" w:rsidRPr="00E327D6" w:rsidRDefault="00523B3D">
            <w:pPr>
              <w:spacing w:line="280" w:lineRule="auto"/>
              <w:rPr>
                <w:rFonts w:ascii="標楷體" w:eastAsia="標楷體" w:hAnsi="標楷體"/>
                <w:color w:val="000000" w:themeColor="text1"/>
              </w:rPr>
            </w:pPr>
            <w:r w:rsidRPr="00E327D6">
              <w:rPr>
                <w:rFonts w:ascii="標楷體" w:eastAsia="標楷體" w:hAnsi="標楷體"/>
                <w:b/>
                <w:bCs/>
                <w:color w:val="000000" w:themeColor="text1"/>
                <w:sz w:val="20"/>
                <w:szCs w:val="20"/>
              </w:rPr>
              <w:lastRenderedPageBreak/>
              <w:t>元件</w:t>
            </w:r>
          </w:p>
        </w:tc>
        <w:tc>
          <w:tcPr>
            <w:tcW w:w="2800" w:type="dxa"/>
            <w:shd w:val="clear" w:color="auto" w:fill="D9E2F3"/>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b/>
                <w:bCs/>
                <w:color w:val="000000" w:themeColor="text1"/>
                <w:sz w:val="20"/>
                <w:szCs w:val="20"/>
              </w:rPr>
              <w:t>原 HETA</w:t>
            </w:r>
          </w:p>
        </w:tc>
        <w:tc>
          <w:tcPr>
            <w:tcW w:w="3200" w:type="dxa"/>
            <w:shd w:val="clear" w:color="auto" w:fill="D9E2F3"/>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b/>
                <w:bCs/>
                <w:color w:val="000000" w:themeColor="text1"/>
                <w:sz w:val="20"/>
                <w:szCs w:val="20"/>
              </w:rPr>
              <w:t>本研究 cosHETA</w:t>
            </w:r>
          </w:p>
        </w:tc>
        <w:tc>
          <w:tcPr>
            <w:tcW w:w="960" w:type="dxa"/>
            <w:shd w:val="clear" w:color="auto" w:fill="D9E2F3"/>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b/>
                <w:bCs/>
                <w:color w:val="000000" w:themeColor="text1"/>
                <w:sz w:val="20"/>
                <w:szCs w:val="20"/>
              </w:rPr>
              <w:t>修改？</w:t>
            </w:r>
          </w:p>
        </w:tc>
      </w:tr>
      <w:tr w:rsidR="003401B4" w:rsidRPr="00E327D6">
        <w:tc>
          <w:tcPr>
            <w:tcW w:w="2400" w:type="dxa"/>
            <w:shd w:val="clear" w:color="auto" w:fill="FFF2CC"/>
            <w:tcMar>
              <w:top w:w="80" w:type="dxa"/>
              <w:left w:w="100" w:type="dxa"/>
              <w:bottom w:w="80" w:type="dxa"/>
              <w:right w:w="100" w:type="dxa"/>
            </w:tcMar>
          </w:tcPr>
          <w:p w:rsidR="007E1872" w:rsidRPr="00E327D6" w:rsidRDefault="00523B3D">
            <w:pPr>
              <w:spacing w:line="280" w:lineRule="auto"/>
              <w:rPr>
                <w:rFonts w:ascii="標楷體" w:eastAsia="標楷體" w:hAnsi="標楷體"/>
                <w:color w:val="000000" w:themeColor="text1"/>
              </w:rPr>
            </w:pPr>
            <w:r w:rsidRPr="00E327D6">
              <w:rPr>
                <w:rFonts w:ascii="標楷體" w:eastAsia="標楷體" w:hAnsi="標楷體"/>
                <w:b/>
                <w:bCs/>
                <w:color w:val="000000" w:themeColor="text1"/>
                <w:sz w:val="20"/>
                <w:szCs w:val="20"/>
              </w:rPr>
              <w:t>第一層相似度分母</w:t>
            </w:r>
          </w:p>
        </w:tc>
        <w:tc>
          <w:tcPr>
            <w:tcW w:w="2800" w:type="dxa"/>
            <w:shd w:val="clear" w:color="auto" w:fill="FFF2CC"/>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min(|Γ(i)|, |Γ(j)|)</w:t>
            </w:r>
          </w:p>
        </w:tc>
        <w:tc>
          <w:tcPr>
            <w:tcW w:w="3200" w:type="dxa"/>
            <w:shd w:val="clear" w:color="auto" w:fill="FFF2CC"/>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√(|Γ(i)| · |Γ(j)|)</w:t>
            </w:r>
          </w:p>
        </w:tc>
        <w:tc>
          <w:tcPr>
            <w:tcW w:w="960" w:type="dxa"/>
            <w:shd w:val="clear" w:color="auto" w:fill="FFF2CC"/>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MS Mincho" w:eastAsia="MS Mincho" w:hAnsi="MS Mincho" w:cs="MS Mincho" w:hint="eastAsia"/>
                <w:color w:val="000000" w:themeColor="text1"/>
                <w:sz w:val="20"/>
                <w:szCs w:val="20"/>
              </w:rPr>
              <w:t>✓</w:t>
            </w:r>
          </w:p>
        </w:tc>
      </w:tr>
      <w:tr w:rsidR="003401B4" w:rsidRPr="00E327D6">
        <w:tc>
          <w:tcPr>
            <w:tcW w:w="2400" w:type="dxa"/>
            <w:shd w:val="clear" w:color="auto" w:fill="FFF2CC"/>
            <w:tcMar>
              <w:top w:w="80" w:type="dxa"/>
              <w:left w:w="100" w:type="dxa"/>
              <w:bottom w:w="80" w:type="dxa"/>
              <w:right w:w="100" w:type="dxa"/>
            </w:tcMar>
          </w:tcPr>
          <w:p w:rsidR="007E1872" w:rsidRPr="00E327D6" w:rsidRDefault="00523B3D">
            <w:pPr>
              <w:spacing w:line="280" w:lineRule="auto"/>
              <w:rPr>
                <w:rFonts w:ascii="標楷體" w:eastAsia="標楷體" w:hAnsi="標楷體"/>
                <w:color w:val="000000" w:themeColor="text1"/>
              </w:rPr>
            </w:pPr>
            <w:r w:rsidRPr="00E327D6">
              <w:rPr>
                <w:rFonts w:ascii="標楷體" w:eastAsia="標楷體" w:hAnsi="標楷體"/>
                <w:b/>
                <w:bCs/>
                <w:color w:val="000000" w:themeColor="text1"/>
                <w:sz w:val="20"/>
                <w:szCs w:val="20"/>
              </w:rPr>
              <w:t>第 k 層相似度分母</w:t>
            </w:r>
          </w:p>
        </w:tc>
        <w:tc>
          <w:tcPr>
            <w:tcW w:w="2800" w:type="dxa"/>
            <w:shd w:val="clear" w:color="auto" w:fill="FFF2CC"/>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三項 min 之和</w:t>
            </w:r>
          </w:p>
        </w:tc>
        <w:tc>
          <w:tcPr>
            <w:tcW w:w="3200" w:type="dxa"/>
            <w:shd w:val="clear" w:color="auto" w:fill="FFF2CC"/>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三項 √(</w:t>
            </w:r>
            <w:proofErr w:type="gramStart"/>
            <w:r w:rsidRPr="00E327D6">
              <w:rPr>
                <w:rFonts w:ascii="標楷體" w:eastAsia="標楷體" w:hAnsi="標楷體"/>
                <w:color w:val="000000" w:themeColor="text1"/>
                <w:sz w:val="20"/>
                <w:szCs w:val="20"/>
              </w:rPr>
              <w:t>·</w:t>
            </w:r>
            <w:proofErr w:type="gramEnd"/>
            <w:r w:rsidRPr="00E327D6">
              <w:rPr>
                <w:rFonts w:ascii="標楷體" w:eastAsia="標楷體" w:hAnsi="標楷體"/>
                <w:color w:val="000000" w:themeColor="text1"/>
                <w:sz w:val="20"/>
                <w:szCs w:val="20"/>
              </w:rPr>
              <w:t>) 之和</w:t>
            </w:r>
          </w:p>
        </w:tc>
        <w:tc>
          <w:tcPr>
            <w:tcW w:w="960" w:type="dxa"/>
            <w:shd w:val="clear" w:color="auto" w:fill="FFF2CC"/>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MS Mincho" w:eastAsia="MS Mincho" w:hAnsi="MS Mincho" w:cs="MS Mincho" w:hint="eastAsia"/>
                <w:color w:val="000000" w:themeColor="text1"/>
                <w:sz w:val="20"/>
                <w:szCs w:val="20"/>
              </w:rPr>
              <w:t>✓</w:t>
            </w:r>
          </w:p>
        </w:tc>
      </w:tr>
      <w:tr w:rsidR="003401B4" w:rsidRPr="00E327D6">
        <w:tc>
          <w:tcPr>
            <w:tcW w:w="2400" w:type="dxa"/>
            <w:tcMar>
              <w:top w:w="80" w:type="dxa"/>
              <w:left w:w="100" w:type="dxa"/>
              <w:bottom w:w="80" w:type="dxa"/>
              <w:right w:w="100" w:type="dxa"/>
            </w:tcMar>
          </w:tcPr>
          <w:p w:rsidR="007E1872" w:rsidRPr="00E327D6" w:rsidRDefault="00523B3D">
            <w:pPr>
              <w:spacing w:line="280" w:lineRule="auto"/>
              <w:rPr>
                <w:rFonts w:ascii="標楷體" w:eastAsia="標楷體" w:hAnsi="標楷體"/>
                <w:color w:val="000000" w:themeColor="text1"/>
              </w:rPr>
            </w:pPr>
            <w:proofErr w:type="gramStart"/>
            <w:r w:rsidRPr="00E327D6">
              <w:rPr>
                <w:rFonts w:ascii="標楷體" w:eastAsia="標楷體" w:hAnsi="標楷體"/>
                <w:b/>
                <w:bCs/>
                <w:color w:val="000000" w:themeColor="text1"/>
                <w:sz w:val="20"/>
                <w:szCs w:val="20"/>
              </w:rPr>
              <w:t>值域</w:t>
            </w:r>
            <w:proofErr w:type="gramEnd"/>
          </w:p>
        </w:tc>
        <w:tc>
          <w:tcPr>
            <w:tcW w:w="28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[0, 1]</w:t>
            </w:r>
          </w:p>
        </w:tc>
        <w:tc>
          <w:tcPr>
            <w:tcW w:w="32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[0, 1]</w:t>
            </w:r>
          </w:p>
        </w:tc>
        <w:tc>
          <w:tcPr>
            <w:tcW w:w="96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w:t>
            </w:r>
          </w:p>
        </w:tc>
      </w:tr>
      <w:tr w:rsidR="003401B4" w:rsidRPr="00E327D6">
        <w:tc>
          <w:tcPr>
            <w:tcW w:w="2400" w:type="dxa"/>
            <w:tcMar>
              <w:top w:w="80" w:type="dxa"/>
              <w:left w:w="100" w:type="dxa"/>
              <w:bottom w:w="80" w:type="dxa"/>
              <w:right w:w="100" w:type="dxa"/>
            </w:tcMar>
          </w:tcPr>
          <w:p w:rsidR="007E1872" w:rsidRPr="00E327D6" w:rsidRDefault="00523B3D">
            <w:pPr>
              <w:spacing w:line="280" w:lineRule="auto"/>
              <w:rPr>
                <w:rFonts w:ascii="標楷體" w:eastAsia="標楷體" w:hAnsi="標楷體"/>
                <w:color w:val="000000" w:themeColor="text1"/>
              </w:rPr>
            </w:pPr>
            <w:r w:rsidRPr="00E327D6">
              <w:rPr>
                <w:rFonts w:ascii="標楷體" w:eastAsia="標楷體" w:hAnsi="標楷體"/>
                <w:b/>
                <w:bCs/>
                <w:color w:val="000000" w:themeColor="text1"/>
                <w:sz w:val="20"/>
                <w:szCs w:val="20"/>
              </w:rPr>
              <w:t>Step 2 零模型</w:t>
            </w:r>
          </w:p>
        </w:tc>
        <w:tc>
          <w:tcPr>
            <w:tcW w:w="28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Degree-preserving switching</w:t>
            </w:r>
          </w:p>
        </w:tc>
        <w:tc>
          <w:tcPr>
            <w:tcW w:w="32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Degree-preserving switching</w:t>
            </w:r>
          </w:p>
        </w:tc>
        <w:tc>
          <w:tcPr>
            <w:tcW w:w="96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w:t>
            </w:r>
          </w:p>
        </w:tc>
      </w:tr>
      <w:tr w:rsidR="003401B4" w:rsidRPr="00E327D6">
        <w:tc>
          <w:tcPr>
            <w:tcW w:w="2400" w:type="dxa"/>
            <w:tcMar>
              <w:top w:w="80" w:type="dxa"/>
              <w:left w:w="100" w:type="dxa"/>
              <w:bottom w:w="80" w:type="dxa"/>
              <w:right w:w="100" w:type="dxa"/>
            </w:tcMar>
          </w:tcPr>
          <w:p w:rsidR="007E1872" w:rsidRPr="00E327D6" w:rsidRDefault="00523B3D">
            <w:pPr>
              <w:spacing w:line="280" w:lineRule="auto"/>
              <w:rPr>
                <w:rFonts w:ascii="標楷體" w:eastAsia="標楷體" w:hAnsi="標楷體"/>
                <w:color w:val="000000" w:themeColor="text1"/>
              </w:rPr>
            </w:pPr>
            <w:r w:rsidRPr="00E327D6">
              <w:rPr>
                <w:rFonts w:ascii="標楷體" w:eastAsia="標楷體" w:hAnsi="標楷體"/>
                <w:b/>
                <w:bCs/>
                <w:color w:val="000000" w:themeColor="text1"/>
                <w:sz w:val="20"/>
                <w:szCs w:val="20"/>
              </w:rPr>
              <w:t>隨機網路數量</w:t>
            </w:r>
          </w:p>
        </w:tc>
        <w:tc>
          <w:tcPr>
            <w:tcW w:w="28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1,000</w:t>
            </w:r>
          </w:p>
        </w:tc>
        <w:tc>
          <w:tcPr>
            <w:tcW w:w="32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1,000</w:t>
            </w:r>
          </w:p>
        </w:tc>
        <w:tc>
          <w:tcPr>
            <w:tcW w:w="96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w:t>
            </w:r>
          </w:p>
        </w:tc>
      </w:tr>
      <w:tr w:rsidR="003401B4" w:rsidRPr="00E327D6">
        <w:tc>
          <w:tcPr>
            <w:tcW w:w="2400" w:type="dxa"/>
            <w:tcMar>
              <w:top w:w="80" w:type="dxa"/>
              <w:left w:w="100" w:type="dxa"/>
              <w:bottom w:w="80" w:type="dxa"/>
              <w:right w:w="100" w:type="dxa"/>
            </w:tcMar>
          </w:tcPr>
          <w:p w:rsidR="007E1872" w:rsidRPr="00E327D6" w:rsidRDefault="00523B3D">
            <w:pPr>
              <w:spacing w:line="280" w:lineRule="auto"/>
              <w:rPr>
                <w:rFonts w:ascii="標楷體" w:eastAsia="標楷體" w:hAnsi="標楷體"/>
                <w:color w:val="000000" w:themeColor="text1"/>
              </w:rPr>
            </w:pPr>
            <w:r w:rsidRPr="00E327D6">
              <w:rPr>
                <w:rFonts w:ascii="標楷體" w:eastAsia="標楷體" w:hAnsi="標楷體"/>
                <w:b/>
                <w:bCs/>
                <w:color w:val="000000" w:themeColor="text1"/>
                <w:sz w:val="20"/>
                <w:szCs w:val="20"/>
              </w:rPr>
              <w:t>外部</w:t>
            </w:r>
            <w:proofErr w:type="gramStart"/>
            <w:r w:rsidRPr="00E327D6">
              <w:rPr>
                <w:rFonts w:ascii="標楷體" w:eastAsia="標楷體" w:hAnsi="標楷體"/>
                <w:b/>
                <w:bCs/>
                <w:color w:val="000000" w:themeColor="text1"/>
                <w:sz w:val="20"/>
                <w:szCs w:val="20"/>
              </w:rPr>
              <w:t>閾</w:t>
            </w:r>
            <w:proofErr w:type="gramEnd"/>
            <w:r w:rsidRPr="00E327D6">
              <w:rPr>
                <w:rFonts w:ascii="標楷體" w:eastAsia="標楷體" w:hAnsi="標楷體"/>
                <w:b/>
                <w:bCs/>
                <w:color w:val="000000" w:themeColor="text1"/>
                <w:sz w:val="20"/>
                <w:szCs w:val="20"/>
              </w:rPr>
              <w:t>值 T^k_E</w:t>
            </w:r>
          </w:p>
        </w:tc>
        <w:tc>
          <w:tcPr>
            <w:tcW w:w="28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Mean + 2·SD</w:t>
            </w:r>
          </w:p>
        </w:tc>
        <w:tc>
          <w:tcPr>
            <w:tcW w:w="32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Mean + 2·SD</w:t>
            </w:r>
          </w:p>
        </w:tc>
        <w:tc>
          <w:tcPr>
            <w:tcW w:w="96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w:t>
            </w:r>
          </w:p>
        </w:tc>
      </w:tr>
      <w:tr w:rsidR="003401B4" w:rsidRPr="00E327D6">
        <w:tc>
          <w:tcPr>
            <w:tcW w:w="2400" w:type="dxa"/>
            <w:tcMar>
              <w:top w:w="80" w:type="dxa"/>
              <w:left w:w="100" w:type="dxa"/>
              <w:bottom w:w="80" w:type="dxa"/>
              <w:right w:w="100" w:type="dxa"/>
            </w:tcMar>
          </w:tcPr>
          <w:p w:rsidR="007E1872" w:rsidRPr="00E327D6" w:rsidRDefault="00523B3D">
            <w:pPr>
              <w:spacing w:line="280" w:lineRule="auto"/>
              <w:rPr>
                <w:rFonts w:ascii="標楷體" w:eastAsia="標楷體" w:hAnsi="標楷體"/>
                <w:color w:val="000000" w:themeColor="text1"/>
              </w:rPr>
            </w:pPr>
            <w:r w:rsidRPr="00E327D6">
              <w:rPr>
                <w:rFonts w:ascii="標楷體" w:eastAsia="標楷體" w:hAnsi="標楷體"/>
                <w:b/>
                <w:bCs/>
                <w:color w:val="000000" w:themeColor="text1"/>
                <w:sz w:val="20"/>
                <w:szCs w:val="20"/>
              </w:rPr>
              <w:t>內部</w:t>
            </w:r>
            <w:proofErr w:type="gramStart"/>
            <w:r w:rsidRPr="00E327D6">
              <w:rPr>
                <w:rFonts w:ascii="標楷體" w:eastAsia="標楷體" w:hAnsi="標楷體"/>
                <w:b/>
                <w:bCs/>
                <w:color w:val="000000" w:themeColor="text1"/>
                <w:sz w:val="20"/>
                <w:szCs w:val="20"/>
              </w:rPr>
              <w:t>閾</w:t>
            </w:r>
            <w:proofErr w:type="gramEnd"/>
            <w:r w:rsidRPr="00E327D6">
              <w:rPr>
                <w:rFonts w:ascii="標楷體" w:eastAsia="標楷體" w:hAnsi="標楷體"/>
                <w:b/>
                <w:bCs/>
                <w:color w:val="000000" w:themeColor="text1"/>
                <w:sz w:val="20"/>
                <w:szCs w:val="20"/>
              </w:rPr>
              <w:t>值 T^k_I</w:t>
            </w:r>
          </w:p>
        </w:tc>
        <w:tc>
          <w:tcPr>
            <w:tcW w:w="28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 xml:space="preserve">Mean </w:t>
            </w:r>
            <w:r w:rsidRPr="00E327D6">
              <w:rPr>
                <w:rFonts w:ascii="MS Mincho" w:eastAsia="MS Mincho" w:hAnsi="MS Mincho" w:cs="MS Mincho" w:hint="eastAsia"/>
                <w:color w:val="000000" w:themeColor="text1"/>
                <w:sz w:val="20"/>
                <w:szCs w:val="20"/>
              </w:rPr>
              <w:t>−</w:t>
            </w:r>
            <w:r w:rsidRPr="00E327D6">
              <w:rPr>
                <w:rFonts w:ascii="標楷體" w:eastAsia="標楷體" w:hAnsi="標楷體"/>
                <w:color w:val="000000" w:themeColor="text1"/>
                <w:sz w:val="20"/>
                <w:szCs w:val="20"/>
              </w:rPr>
              <w:t xml:space="preserve"> SD</w:t>
            </w:r>
          </w:p>
        </w:tc>
        <w:tc>
          <w:tcPr>
            <w:tcW w:w="32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 xml:space="preserve">Mean </w:t>
            </w:r>
            <w:r w:rsidRPr="00E327D6">
              <w:rPr>
                <w:rFonts w:ascii="MS Mincho" w:eastAsia="MS Mincho" w:hAnsi="MS Mincho" w:cs="MS Mincho" w:hint="eastAsia"/>
                <w:color w:val="000000" w:themeColor="text1"/>
                <w:sz w:val="20"/>
                <w:szCs w:val="20"/>
              </w:rPr>
              <w:t>−</w:t>
            </w:r>
            <w:r w:rsidRPr="00E327D6">
              <w:rPr>
                <w:rFonts w:ascii="標楷體" w:eastAsia="標楷體" w:hAnsi="標楷體"/>
                <w:color w:val="000000" w:themeColor="text1"/>
                <w:sz w:val="20"/>
                <w:szCs w:val="20"/>
              </w:rPr>
              <w:t xml:space="preserve"> SD</w:t>
            </w:r>
          </w:p>
        </w:tc>
        <w:tc>
          <w:tcPr>
            <w:tcW w:w="96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w:t>
            </w:r>
          </w:p>
        </w:tc>
      </w:tr>
      <w:tr w:rsidR="003401B4" w:rsidRPr="00E327D6">
        <w:tc>
          <w:tcPr>
            <w:tcW w:w="2400" w:type="dxa"/>
            <w:tcMar>
              <w:top w:w="80" w:type="dxa"/>
              <w:left w:w="100" w:type="dxa"/>
              <w:bottom w:w="80" w:type="dxa"/>
              <w:right w:w="100" w:type="dxa"/>
            </w:tcMar>
          </w:tcPr>
          <w:p w:rsidR="007E1872" w:rsidRPr="00E327D6" w:rsidRDefault="00523B3D">
            <w:pPr>
              <w:spacing w:line="280" w:lineRule="auto"/>
              <w:rPr>
                <w:rFonts w:ascii="標楷體" w:eastAsia="標楷體" w:hAnsi="標楷體"/>
                <w:color w:val="000000" w:themeColor="text1"/>
              </w:rPr>
            </w:pPr>
            <w:r w:rsidRPr="00E327D6">
              <w:rPr>
                <w:rFonts w:ascii="標楷體" w:eastAsia="標楷體" w:hAnsi="標楷體"/>
                <w:b/>
                <w:bCs/>
                <w:color w:val="000000" w:themeColor="text1"/>
                <w:sz w:val="20"/>
                <w:szCs w:val="20"/>
              </w:rPr>
              <w:t>Silk／Bond／Bridge 分類邏輯</w:t>
            </w:r>
          </w:p>
        </w:tc>
        <w:tc>
          <w:tcPr>
            <w:tcW w:w="28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如 Algorithm 1</w:t>
            </w:r>
          </w:p>
        </w:tc>
        <w:tc>
          <w:tcPr>
            <w:tcW w:w="32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如 Algorithm 1</w:t>
            </w:r>
          </w:p>
        </w:tc>
        <w:tc>
          <w:tcPr>
            <w:tcW w:w="96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w:t>
            </w:r>
          </w:p>
        </w:tc>
      </w:tr>
      <w:tr w:rsidR="003401B4" w:rsidRPr="00E327D6">
        <w:tc>
          <w:tcPr>
            <w:tcW w:w="2400" w:type="dxa"/>
            <w:tcMar>
              <w:top w:w="80" w:type="dxa"/>
              <w:left w:w="100" w:type="dxa"/>
              <w:bottom w:w="80" w:type="dxa"/>
              <w:right w:w="100" w:type="dxa"/>
            </w:tcMar>
          </w:tcPr>
          <w:p w:rsidR="007E1872" w:rsidRPr="00E327D6" w:rsidRDefault="00523B3D">
            <w:pPr>
              <w:spacing w:line="280" w:lineRule="auto"/>
              <w:rPr>
                <w:rFonts w:ascii="標楷體" w:eastAsia="標楷體" w:hAnsi="標楷體"/>
                <w:color w:val="000000" w:themeColor="text1"/>
              </w:rPr>
            </w:pPr>
            <w:r w:rsidRPr="00E327D6">
              <w:rPr>
                <w:rFonts w:ascii="標楷體" w:eastAsia="標楷體" w:hAnsi="標楷體"/>
                <w:b/>
                <w:bCs/>
                <w:color w:val="000000" w:themeColor="text1"/>
                <w:sz w:val="20"/>
                <w:szCs w:val="20"/>
              </w:rPr>
              <w:t>遞迴社群分割</w:t>
            </w:r>
          </w:p>
        </w:tc>
        <w:tc>
          <w:tcPr>
            <w:tcW w:w="28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如 Algorithm 2</w:t>
            </w:r>
          </w:p>
        </w:tc>
        <w:tc>
          <w:tcPr>
            <w:tcW w:w="32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如 Algorithm 2</w:t>
            </w:r>
          </w:p>
        </w:tc>
        <w:tc>
          <w:tcPr>
            <w:tcW w:w="96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w:t>
            </w:r>
          </w:p>
        </w:tc>
      </w:tr>
      <w:tr w:rsidR="003401B4" w:rsidRPr="00E327D6">
        <w:tc>
          <w:tcPr>
            <w:tcW w:w="2400" w:type="dxa"/>
            <w:tcMar>
              <w:top w:w="80" w:type="dxa"/>
              <w:left w:w="100" w:type="dxa"/>
              <w:bottom w:w="80" w:type="dxa"/>
              <w:right w:w="100" w:type="dxa"/>
            </w:tcMar>
          </w:tcPr>
          <w:p w:rsidR="007E1872" w:rsidRPr="00E327D6" w:rsidRDefault="00523B3D">
            <w:pPr>
              <w:spacing w:line="280" w:lineRule="auto"/>
              <w:rPr>
                <w:rFonts w:ascii="標楷體" w:eastAsia="標楷體" w:hAnsi="標楷體"/>
                <w:color w:val="000000" w:themeColor="text1"/>
              </w:rPr>
            </w:pPr>
            <w:r w:rsidRPr="00E327D6">
              <w:rPr>
                <w:rFonts w:ascii="標楷體" w:eastAsia="標楷體" w:hAnsi="標楷體"/>
                <w:b/>
                <w:bCs/>
                <w:color w:val="000000" w:themeColor="text1"/>
                <w:sz w:val="20"/>
                <w:szCs w:val="20"/>
              </w:rPr>
              <w:t>計算複雜度</w:t>
            </w:r>
          </w:p>
        </w:tc>
        <w:tc>
          <w:tcPr>
            <w:tcW w:w="28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proofErr w:type="gramStart"/>
            <w:r w:rsidRPr="00E327D6">
              <w:rPr>
                <w:rFonts w:ascii="標楷體" w:eastAsia="標楷體" w:hAnsi="標楷體"/>
                <w:color w:val="000000" w:themeColor="text1"/>
                <w:sz w:val="20"/>
                <w:szCs w:val="20"/>
              </w:rPr>
              <w:t>O(</w:t>
            </w:r>
            <w:proofErr w:type="gramEnd"/>
            <w:r w:rsidRPr="00E327D6">
              <w:rPr>
                <w:rFonts w:ascii="標楷體" w:eastAsia="標楷體" w:hAnsi="標楷體"/>
                <w:color w:val="000000" w:themeColor="text1"/>
                <w:sz w:val="20"/>
                <w:szCs w:val="20"/>
              </w:rPr>
              <w:t>|RG| · |E| · k_max)</w:t>
            </w:r>
          </w:p>
        </w:tc>
        <w:tc>
          <w:tcPr>
            <w:tcW w:w="320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proofErr w:type="gramStart"/>
            <w:r w:rsidRPr="00E327D6">
              <w:rPr>
                <w:rFonts w:ascii="標楷體" w:eastAsia="標楷體" w:hAnsi="標楷體"/>
                <w:color w:val="000000" w:themeColor="text1"/>
                <w:sz w:val="20"/>
                <w:szCs w:val="20"/>
              </w:rPr>
              <w:t>O(</w:t>
            </w:r>
            <w:proofErr w:type="gramEnd"/>
            <w:r w:rsidRPr="00E327D6">
              <w:rPr>
                <w:rFonts w:ascii="標楷體" w:eastAsia="標楷體" w:hAnsi="標楷體"/>
                <w:color w:val="000000" w:themeColor="text1"/>
                <w:sz w:val="20"/>
                <w:szCs w:val="20"/>
              </w:rPr>
              <w:t>|RG| · |E| · k_max)</w:t>
            </w:r>
          </w:p>
        </w:tc>
        <w:tc>
          <w:tcPr>
            <w:tcW w:w="960" w:type="dxa"/>
            <w:tcMar>
              <w:top w:w="80" w:type="dxa"/>
              <w:left w:w="100" w:type="dxa"/>
              <w:bottom w:w="80" w:type="dxa"/>
              <w:right w:w="100" w:type="dxa"/>
            </w:tcMar>
          </w:tcPr>
          <w:p w:rsidR="007E1872" w:rsidRPr="00E327D6" w:rsidRDefault="00523B3D">
            <w:pPr>
              <w:spacing w:line="280" w:lineRule="auto"/>
              <w:jc w:val="center"/>
              <w:rPr>
                <w:rFonts w:ascii="標楷體" w:eastAsia="標楷體" w:hAnsi="標楷體"/>
                <w:color w:val="000000" w:themeColor="text1"/>
              </w:rPr>
            </w:pPr>
            <w:r w:rsidRPr="00E327D6">
              <w:rPr>
                <w:rFonts w:ascii="標楷體" w:eastAsia="標楷體" w:hAnsi="標楷體"/>
                <w:color w:val="000000" w:themeColor="text1"/>
                <w:sz w:val="20"/>
                <w:szCs w:val="20"/>
              </w:rPr>
              <w:t>—</w:t>
            </w:r>
          </w:p>
        </w:tc>
      </w:tr>
    </w:tbl>
    <w:p w:rsidR="007E1872" w:rsidRPr="00E327D6" w:rsidRDefault="00523B3D">
      <w:pPr>
        <w:pStyle w:val="2"/>
        <w:rPr>
          <w:rFonts w:ascii="標楷體" w:eastAsia="標楷體" w:hAnsi="標楷體"/>
          <w:color w:val="000000" w:themeColor="text1"/>
        </w:rPr>
      </w:pPr>
      <w:r w:rsidRPr="00E327D6">
        <w:rPr>
          <w:rFonts w:ascii="標楷體" w:eastAsia="標楷體" w:hAnsi="標楷體"/>
          <w:color w:val="000000" w:themeColor="text1"/>
        </w:rPr>
        <w:t>4.3　實驗設計</w:t>
      </w:r>
    </w:p>
    <w:p w:rsidR="007E1872" w:rsidRPr="00E327D6" w:rsidRDefault="00523B3D">
      <w:pPr>
        <w:pStyle w:val="3"/>
        <w:rPr>
          <w:rFonts w:ascii="標楷體" w:eastAsia="標楷體" w:hAnsi="標楷體"/>
          <w:color w:val="000000" w:themeColor="text1"/>
        </w:rPr>
      </w:pPr>
      <w:r w:rsidRPr="00E327D6">
        <w:rPr>
          <w:rFonts w:ascii="標楷體" w:eastAsia="標楷體" w:hAnsi="標楷體"/>
          <w:color w:val="000000" w:themeColor="text1"/>
        </w:rPr>
        <w:t>4.3.1　實驗目標</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本研究針對 cosHETA 的修復效果設定三項具體驗證目標，分別對應「診斷</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修復—驗證」證據鏈中的後三環。</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b/>
          <w:bCs/>
          <w:color w:val="000000" w:themeColor="text1"/>
        </w:rPr>
        <w:t>目標</w:t>
      </w:r>
      <w:proofErr w:type="gramStart"/>
      <w:r w:rsidRPr="00E327D6">
        <w:rPr>
          <w:rFonts w:ascii="標楷體" w:eastAsia="標楷體" w:hAnsi="標楷體"/>
          <w:b/>
          <w:bCs/>
          <w:color w:val="000000" w:themeColor="text1"/>
        </w:rPr>
        <w:t>一</w:t>
      </w:r>
      <w:proofErr w:type="gramEnd"/>
      <w:r w:rsidRPr="00E327D6">
        <w:rPr>
          <w:rFonts w:ascii="標楷體" w:eastAsia="標楷體" w:hAnsi="標楷體"/>
          <w:b/>
          <w:bCs/>
          <w:color w:val="000000" w:themeColor="text1"/>
        </w:rPr>
        <w:t>（分佈正態性修復）：</w:t>
      </w:r>
      <w:r w:rsidRPr="00E327D6">
        <w:rPr>
          <w:rFonts w:ascii="標楷體" w:eastAsia="標楷體" w:hAnsi="標楷體"/>
          <w:color w:val="000000" w:themeColor="text1"/>
        </w:rPr>
        <w:t>在相同零模型、相同隨機種子下，檢驗 Salton 分母是否顯著降低 R^k 樣本分佈</w:t>
      </w:r>
      <w:proofErr w:type="gramStart"/>
      <w:r w:rsidRPr="00E327D6">
        <w:rPr>
          <w:rFonts w:ascii="標楷體" w:eastAsia="標楷體" w:hAnsi="標楷體"/>
          <w:color w:val="000000" w:themeColor="text1"/>
        </w:rPr>
        <w:t>的偏度</w:t>
      </w:r>
      <w:proofErr w:type="gramEnd"/>
      <w:r w:rsidRPr="00E327D6">
        <w:rPr>
          <w:rFonts w:ascii="標楷體" w:eastAsia="標楷體" w:hAnsi="標楷體"/>
          <w:color w:val="000000" w:themeColor="text1"/>
        </w:rPr>
        <w:t>（skewness）、kurtosis，並縮小 Mean + 2·SD 實際涵蓋率 cov_pct 與名義 95% 的差距 gap_from_95。此目標以六項統計量與 Shapiro-Wilk、Anderson-Darling 兩項常態檢定共同量化。</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b/>
          <w:bCs/>
          <w:color w:val="000000" w:themeColor="text1"/>
        </w:rPr>
        <w:t>目標二（分類結果穩健性）：</w:t>
      </w:r>
      <w:r w:rsidRPr="00E327D6">
        <w:rPr>
          <w:rFonts w:ascii="標楷體" w:eastAsia="標楷體" w:hAnsi="標楷體"/>
          <w:color w:val="000000" w:themeColor="text1"/>
        </w:rPr>
        <w:t>檢驗 cosHETA 是否保留原論文「bond-dominated／bridge-dominated」拓撲分組結論。以 Fig. 4-11 的完整重現</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—包括 R 分佈箱形圖、連結類型識別圓形佈局、force-directed 佈局、指紋堆疊長條與相關矩陣——驗證 Salton 替換不破壞原論文核心結論。</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b/>
          <w:bCs/>
          <w:color w:val="000000" w:themeColor="text1"/>
        </w:rPr>
        <w:t>目標三（社群偵測品質提升）：</w:t>
      </w:r>
      <w:r w:rsidRPr="00E327D6">
        <w:rPr>
          <w:rFonts w:ascii="標楷體" w:eastAsia="標楷體" w:hAnsi="標楷體"/>
          <w:color w:val="000000" w:themeColor="text1"/>
        </w:rPr>
        <w:t>在 LFR benchmark（Lancichinetti, Fortunato &amp; Radicchi, 2008）與 REAL16 上，以 NMI（Normalized Mutual Information）為主要指標，比較 HETA 與 cosHETA 在 Algorithm 2 遞迴社群分割上的效能差異。</w:t>
      </w:r>
    </w:p>
    <w:p w:rsidR="007E1872" w:rsidRPr="00E327D6" w:rsidRDefault="00523B3D">
      <w:pPr>
        <w:pStyle w:val="3"/>
        <w:rPr>
          <w:rFonts w:ascii="標楷體" w:eastAsia="標楷體" w:hAnsi="標楷體"/>
          <w:color w:val="000000" w:themeColor="text1"/>
        </w:rPr>
      </w:pPr>
      <w:r w:rsidRPr="00E327D6">
        <w:rPr>
          <w:rFonts w:ascii="標楷體" w:eastAsia="標楷體" w:hAnsi="標楷體"/>
          <w:color w:val="000000" w:themeColor="text1"/>
        </w:rPr>
        <w:lastRenderedPageBreak/>
        <w:t>4.3.2　測試網路</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為了兼顧「與原論文對齊」與「異質度分佈情境涵蓋」兩個需求，本研究在三類網路上執行實驗：</w:t>
      </w:r>
    </w:p>
    <w:p w:rsidR="007E1872" w:rsidRPr="00E327D6" w:rsidRDefault="00523B3D">
      <w:pPr>
        <w:spacing w:before="60" w:after="60" w:line="320" w:lineRule="auto"/>
        <w:ind w:left="720" w:hanging="360"/>
        <w:jc w:val="both"/>
        <w:rPr>
          <w:rFonts w:ascii="標楷體" w:eastAsia="標楷體" w:hAnsi="標楷體"/>
          <w:color w:val="000000" w:themeColor="text1"/>
        </w:rPr>
      </w:pP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 xml:space="preserve">  </w:t>
      </w:r>
      <w:r w:rsidRPr="00E327D6">
        <w:rPr>
          <w:rFonts w:ascii="標楷體" w:eastAsia="標楷體" w:hAnsi="標楷體"/>
          <w:b/>
          <w:bCs/>
          <w:color w:val="000000" w:themeColor="text1"/>
        </w:rPr>
        <w:t>REAL16（原論文 16 個真實網路）：</w:t>
      </w:r>
      <w:r w:rsidRPr="00E327D6">
        <w:rPr>
          <w:rFonts w:ascii="標楷體" w:eastAsia="標楷體" w:hAnsi="標楷體"/>
          <w:color w:val="000000" w:themeColor="text1"/>
        </w:rPr>
        <w:t>rdgam（|V|=12, |E|=28）、women（16, 50）、football（115, 613）、jazz（198, 2742）、lesmis（77, 254）、camp92（18, 35）、prisonInter（67, 142）、karate（34, 78）、ragusa16（24, 68）、dolphins（62, 159）、celegans（297, 2148）、leader（32, 80）、k-core（26, 31）、florentine（15, 20）、ba_sfn（100, 196）、s208（122, 189）。涵蓋社會、生物、電子、網路理論四個學科。</w:t>
      </w:r>
    </w:p>
    <w:p w:rsidR="007E1872" w:rsidRPr="00E327D6" w:rsidRDefault="00523B3D">
      <w:pPr>
        <w:spacing w:before="60" w:after="60" w:line="320" w:lineRule="auto"/>
        <w:ind w:left="720" w:hanging="360"/>
        <w:jc w:val="both"/>
        <w:rPr>
          <w:rFonts w:ascii="標楷體" w:eastAsia="標楷體" w:hAnsi="標楷體"/>
          <w:color w:val="000000" w:themeColor="text1"/>
        </w:rPr>
      </w:pP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 xml:space="preserve">  </w:t>
      </w:r>
      <w:r w:rsidRPr="00E327D6">
        <w:rPr>
          <w:rFonts w:ascii="標楷體" w:eastAsia="標楷體" w:hAnsi="標楷體"/>
          <w:b/>
          <w:bCs/>
          <w:color w:val="000000" w:themeColor="text1"/>
        </w:rPr>
        <w:t>WS 小世界網路 16 組：</w:t>
      </w:r>
      <w:r w:rsidRPr="00E327D6">
        <w:rPr>
          <w:rFonts w:ascii="標楷體" w:eastAsia="標楷體" w:hAnsi="標楷體"/>
          <w:color w:val="000000" w:themeColor="text1"/>
        </w:rPr>
        <w:t xml:space="preserve">Watts-Strogatz rewiring，起點為 200 節點、6 </w:t>
      </w:r>
      <w:proofErr w:type="gramStart"/>
      <w:r w:rsidRPr="00E327D6">
        <w:rPr>
          <w:rFonts w:ascii="標楷體" w:eastAsia="標楷體" w:hAnsi="標楷體"/>
          <w:color w:val="000000" w:themeColor="text1"/>
        </w:rPr>
        <w:t>最近鄰環</w:t>
      </w:r>
      <w:proofErr w:type="gramEnd"/>
      <w:r w:rsidRPr="00E327D6">
        <w:rPr>
          <w:rFonts w:ascii="標楷體" w:eastAsia="標楷體" w:hAnsi="標楷體"/>
          <w:color w:val="000000" w:themeColor="text1"/>
        </w:rPr>
        <w:t xml:space="preserve">格，rewiring 機率 p </w:t>
      </w:r>
      <w:r w:rsidRPr="00E327D6">
        <w:rPr>
          <w:rFonts w:ascii="Cambria Math" w:eastAsia="標楷體" w:hAnsi="Cambria Math" w:cs="Cambria Math"/>
          <w:color w:val="000000" w:themeColor="text1"/>
        </w:rPr>
        <w:t>∈</w:t>
      </w:r>
      <w:r w:rsidRPr="00E327D6">
        <w:rPr>
          <w:rFonts w:ascii="標楷體" w:eastAsia="標楷體" w:hAnsi="標楷體"/>
          <w:color w:val="000000" w:themeColor="text1"/>
        </w:rPr>
        <w:t xml:space="preserve"> {0.0, 0.001, 0.002, 0.004, 0.008, 0.016, 0.032, 0.064, 0.128, 0.256, 0.384, 0.512, 0.640, 0.768, 0.896, 1.0}。</w:t>
      </w:r>
    </w:p>
    <w:p w:rsidR="007E1872" w:rsidRPr="00E327D6" w:rsidRDefault="00523B3D">
      <w:pPr>
        <w:spacing w:before="60" w:after="60" w:line="320" w:lineRule="auto"/>
        <w:ind w:left="720" w:hanging="360"/>
        <w:jc w:val="both"/>
        <w:rPr>
          <w:rFonts w:ascii="標楷體" w:eastAsia="標楷體" w:hAnsi="標楷體"/>
          <w:color w:val="000000" w:themeColor="text1"/>
        </w:rPr>
      </w:pP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 xml:space="preserve">  </w:t>
      </w:r>
      <w:r w:rsidRPr="00E327D6">
        <w:rPr>
          <w:rFonts w:ascii="標楷體" w:eastAsia="標楷體" w:hAnsi="標楷體"/>
          <w:b/>
          <w:bCs/>
          <w:color w:val="000000" w:themeColor="text1"/>
        </w:rPr>
        <w:t>NW 小世界網路 16 組：</w:t>
      </w:r>
      <w:r w:rsidRPr="00E327D6">
        <w:rPr>
          <w:rFonts w:ascii="標楷體" w:eastAsia="標楷體" w:hAnsi="標楷體"/>
          <w:color w:val="000000" w:themeColor="text1"/>
        </w:rPr>
        <w:t xml:space="preserve">Newman-Watts shortcut addition，起點為 200 節點、6 </w:t>
      </w:r>
      <w:proofErr w:type="gramStart"/>
      <w:r w:rsidRPr="00E327D6">
        <w:rPr>
          <w:rFonts w:ascii="標楷體" w:eastAsia="標楷體" w:hAnsi="標楷體"/>
          <w:color w:val="000000" w:themeColor="text1"/>
        </w:rPr>
        <w:t>最近鄰環</w:t>
      </w:r>
      <w:proofErr w:type="gramEnd"/>
      <w:r w:rsidRPr="00E327D6">
        <w:rPr>
          <w:rFonts w:ascii="標楷體" w:eastAsia="標楷體" w:hAnsi="標楷體"/>
          <w:color w:val="000000" w:themeColor="text1"/>
        </w:rPr>
        <w:t>格，shortcut addition 機率同上 16 個值。</w:t>
      </w:r>
    </w:p>
    <w:p w:rsidR="007E1872" w:rsidRPr="00E327D6" w:rsidRDefault="00523B3D">
      <w:pPr>
        <w:spacing w:before="60" w:after="60" w:line="320" w:lineRule="auto"/>
        <w:ind w:left="720" w:hanging="360"/>
        <w:jc w:val="both"/>
        <w:rPr>
          <w:rFonts w:ascii="標楷體" w:eastAsia="標楷體" w:hAnsi="標楷體"/>
          <w:color w:val="000000" w:themeColor="text1"/>
        </w:rPr>
      </w:pP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 xml:space="preserve">  </w:t>
      </w:r>
      <w:r w:rsidRPr="00E327D6">
        <w:rPr>
          <w:rFonts w:ascii="標楷體" w:eastAsia="標楷體" w:hAnsi="標楷體"/>
          <w:b/>
          <w:bCs/>
          <w:color w:val="000000" w:themeColor="text1"/>
        </w:rPr>
        <w:t>LFR benchmark（後續擴展）：</w:t>
      </w:r>
      <w:r w:rsidRPr="00E327D6">
        <w:rPr>
          <w:rFonts w:ascii="標楷體" w:eastAsia="標楷體" w:hAnsi="標楷體"/>
          <w:color w:val="000000" w:themeColor="text1"/>
        </w:rPr>
        <w:t xml:space="preserve">依 Lancichinetti, Fortunato &amp; Radicchi（2008）產生，變更混合參數 μ </w:t>
      </w:r>
      <w:r w:rsidRPr="00E327D6">
        <w:rPr>
          <w:rFonts w:ascii="Cambria Math" w:eastAsia="標楷體" w:hAnsi="Cambria Math" w:cs="Cambria Math"/>
          <w:color w:val="000000" w:themeColor="text1"/>
        </w:rPr>
        <w:t>∈</w:t>
      </w:r>
      <w:r w:rsidRPr="00E327D6">
        <w:rPr>
          <w:rFonts w:ascii="標楷體" w:eastAsia="標楷體" w:hAnsi="標楷體"/>
          <w:color w:val="000000" w:themeColor="text1"/>
        </w:rPr>
        <w:t xml:space="preserve"> {0.1, 0.3, 0.5, 0.7}，節點數 1000，用於社群偵測 NMI 比較。</w:t>
      </w:r>
    </w:p>
    <w:p w:rsidR="007E1872" w:rsidRPr="00E327D6" w:rsidRDefault="00523B3D">
      <w:pPr>
        <w:pStyle w:val="3"/>
        <w:rPr>
          <w:rFonts w:ascii="標楷體" w:eastAsia="標楷體" w:hAnsi="標楷體"/>
          <w:color w:val="000000" w:themeColor="text1"/>
        </w:rPr>
      </w:pPr>
      <w:r w:rsidRPr="00E327D6">
        <w:rPr>
          <w:rFonts w:ascii="標楷體" w:eastAsia="標楷體" w:hAnsi="標楷體"/>
          <w:color w:val="000000" w:themeColor="text1"/>
        </w:rPr>
        <w:t>4.3.3　零模型與隨機化設定</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b/>
          <w:bCs/>
          <w:color w:val="000000" w:themeColor="text1"/>
        </w:rPr>
        <w:t>零模型演算法：</w:t>
      </w:r>
      <w:r w:rsidRPr="00E327D6">
        <w:rPr>
          <w:rFonts w:ascii="標楷體" w:eastAsia="標楷體" w:hAnsi="標楷體"/>
          <w:color w:val="000000" w:themeColor="text1"/>
        </w:rPr>
        <w:t>NetworkX 的 connected_double_edge_swap，保留度序列（degree-preserving switching randomization），每</w:t>
      </w:r>
      <w:proofErr w:type="gramStart"/>
      <w:r w:rsidRPr="00E327D6">
        <w:rPr>
          <w:rFonts w:ascii="標楷體" w:eastAsia="標楷體" w:hAnsi="標楷體"/>
          <w:color w:val="000000" w:themeColor="text1"/>
        </w:rPr>
        <w:t>個</w:t>
      </w:r>
      <w:proofErr w:type="gramEnd"/>
      <w:r w:rsidRPr="00E327D6">
        <w:rPr>
          <w:rFonts w:ascii="標楷體" w:eastAsia="標楷體" w:hAnsi="標楷體"/>
          <w:color w:val="000000" w:themeColor="text1"/>
        </w:rPr>
        <w:t>網路產生 num_nulls 個隨機對照網路，每個網路交換次數 Q = 10·m（m 為邊數），與 Milo et al.（2003）的建議一致。</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b/>
          <w:bCs/>
          <w:color w:val="000000" w:themeColor="text1"/>
        </w:rPr>
        <w:t>種子控制：</w:t>
      </w:r>
      <w:r w:rsidRPr="00E327D6">
        <w:rPr>
          <w:rFonts w:ascii="標楷體" w:eastAsia="標楷體" w:hAnsi="標楷體"/>
          <w:color w:val="000000" w:themeColor="text1"/>
        </w:rPr>
        <w:t>RNG seed = 20260423 固定；HPI（min）與 Salton（sqrt）兩個分母版本共用同一批 null networks，以確保「分母差異為唯一變因」。此設計隔離了零模型隨機性的干擾，使 HPI vs. Salton 的對比可直接歸因於分母差異。</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b/>
          <w:bCs/>
          <w:color w:val="000000" w:themeColor="text1"/>
        </w:rPr>
        <w:t>規模分層：</w:t>
      </w:r>
      <w:r w:rsidRPr="00E327D6">
        <w:rPr>
          <w:rFonts w:ascii="標楷體" w:eastAsia="標楷體" w:hAnsi="標楷體"/>
          <w:color w:val="000000" w:themeColor="text1"/>
        </w:rPr>
        <w:t>num_nulls = 10</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pilot，確認實驗管線正確性；目前已完成 5.1 節結果</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；num_nulls = 200</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對照實驗，重現原論文 Fig. 4-11；目前已完成 5.2 節結果</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；num_nulls = 1,000</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正式論文版本；於下游投稿前執行，與原論文規模對齊</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。Shapiro-Wilk 與 Anderson-Darling 的拒絕力度極大，放大 num_nulls 只會讓拒絕更強、不會反轉結論。</w:t>
      </w:r>
    </w:p>
    <w:p w:rsidR="007E1872" w:rsidRPr="00E327D6" w:rsidRDefault="00523B3D">
      <w:pPr>
        <w:pStyle w:val="3"/>
        <w:rPr>
          <w:rFonts w:ascii="標楷體" w:eastAsia="標楷體" w:hAnsi="標楷體"/>
          <w:color w:val="000000" w:themeColor="text1"/>
        </w:rPr>
      </w:pPr>
      <w:r w:rsidRPr="00E327D6">
        <w:rPr>
          <w:rFonts w:ascii="標楷體" w:eastAsia="標楷體" w:hAnsi="標楷體"/>
          <w:color w:val="000000" w:themeColor="text1"/>
        </w:rPr>
        <w:lastRenderedPageBreak/>
        <w:t>4.3.4　觀測指標</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本研究對每</w:t>
      </w:r>
      <w:proofErr w:type="gramStart"/>
      <w:r w:rsidRPr="00E327D6">
        <w:rPr>
          <w:rFonts w:ascii="標楷體" w:eastAsia="標楷體" w:hAnsi="標楷體"/>
          <w:color w:val="000000" w:themeColor="text1"/>
        </w:rPr>
        <w:t>個</w:t>
      </w:r>
      <w:proofErr w:type="gramEnd"/>
      <w:r w:rsidRPr="00E327D6">
        <w:rPr>
          <w:rFonts w:ascii="標楷體" w:eastAsia="標楷體" w:hAnsi="標楷體"/>
          <w:color w:val="000000" w:themeColor="text1"/>
        </w:rPr>
        <w:t xml:space="preserve"> (網路 × 分母) 樣本記錄以下三類指標。</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b/>
          <w:bCs/>
          <w:color w:val="000000" w:themeColor="text1"/>
        </w:rPr>
        <w:t>（A）分佈形狀與常態檢定（對應目標一）：</w:t>
      </w:r>
      <w:r w:rsidRPr="00E327D6">
        <w:rPr>
          <w:rFonts w:ascii="標楷體" w:eastAsia="標楷體" w:hAnsi="標楷體"/>
          <w:color w:val="000000" w:themeColor="text1"/>
        </w:rPr>
        <w:t xml:space="preserve">Mean、SD、Skewness、Excess Kurtosis、Shapiro-Wilk p-value、Anderson-Darling A²。其中 Skewness 以 |skew| </w:t>
      </w:r>
      <w:r w:rsidRPr="00E327D6">
        <w:rPr>
          <w:rFonts w:eastAsia="標楷體"/>
          <w:color w:val="000000" w:themeColor="text1"/>
        </w:rPr>
        <w:t>≥</w:t>
      </w:r>
      <w:r w:rsidRPr="00E327D6">
        <w:rPr>
          <w:rFonts w:ascii="標楷體" w:eastAsia="標楷體" w:hAnsi="標楷體"/>
          <w:color w:val="000000" w:themeColor="text1"/>
        </w:rPr>
        <w:t xml:space="preserve"> 1、0.5 </w:t>
      </w:r>
      <w:r w:rsidRPr="00E327D6">
        <w:rPr>
          <w:rFonts w:eastAsia="標楷體"/>
          <w:color w:val="000000" w:themeColor="text1"/>
        </w:rPr>
        <w:t>≤</w:t>
      </w:r>
      <w:r w:rsidRPr="00E327D6">
        <w:rPr>
          <w:rFonts w:ascii="標楷體" w:eastAsia="標楷體" w:hAnsi="標楷體"/>
          <w:color w:val="000000" w:themeColor="text1"/>
        </w:rPr>
        <w:t xml:space="preserve"> |skew| &lt; 1、|skew| &lt; 0.5 分別標記為 high-skew／moderate／near-symmetric 三級。Shapiro-Wilk 在大樣本下對微小偏離極為敏感，用於判斷拒絕力度；Anderson-Darling 對尾部敏感，互補 Shapiro-Wilk 的中心檢定能力。</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b/>
          <w:bCs/>
          <w:color w:val="000000" w:themeColor="text1"/>
        </w:rPr>
        <w:t>（B）</w:t>
      </w:r>
      <w:proofErr w:type="gramStart"/>
      <w:r w:rsidRPr="00E327D6">
        <w:rPr>
          <w:rFonts w:ascii="標楷體" w:eastAsia="標楷體" w:hAnsi="標楷體"/>
          <w:b/>
          <w:bCs/>
          <w:color w:val="000000" w:themeColor="text1"/>
        </w:rPr>
        <w:t>閾</w:t>
      </w:r>
      <w:proofErr w:type="gramEnd"/>
      <w:r w:rsidRPr="00E327D6">
        <w:rPr>
          <w:rFonts w:ascii="標楷體" w:eastAsia="標楷體" w:hAnsi="標楷體"/>
          <w:b/>
          <w:bCs/>
          <w:color w:val="000000" w:themeColor="text1"/>
        </w:rPr>
        <w:t>值涵蓋率（對應目標一）：</w:t>
      </w:r>
      <w:r w:rsidRPr="00E327D6">
        <w:rPr>
          <w:rFonts w:ascii="標楷體" w:eastAsia="標楷體" w:hAnsi="標楷體"/>
          <w:color w:val="000000" w:themeColor="text1"/>
        </w:rPr>
        <w:t>以 T = Mean + 2</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 xml:space="preserve">SD 為閾值，計算樣本中 R </w:t>
      </w:r>
      <w:r w:rsidRPr="00E327D6">
        <w:rPr>
          <w:rFonts w:eastAsia="標楷體"/>
          <w:color w:val="000000" w:themeColor="text1"/>
        </w:rPr>
        <w:t>≤</w:t>
      </w:r>
      <w:r w:rsidRPr="00E327D6">
        <w:rPr>
          <w:rFonts w:ascii="標楷體" w:eastAsia="標楷體" w:hAnsi="標楷體"/>
          <w:color w:val="000000" w:themeColor="text1"/>
        </w:rPr>
        <w:t xml:space="preserve"> T 的實際百分比 cov_pct；差距 gap_from_95 = cov_pct </w:t>
      </w:r>
      <w:r w:rsidRPr="00E327D6">
        <w:rPr>
          <w:rFonts w:ascii="MS Mincho" w:eastAsia="MS Mincho" w:hAnsi="MS Mincho" w:cs="MS Mincho" w:hint="eastAsia"/>
          <w:color w:val="000000" w:themeColor="text1"/>
        </w:rPr>
        <w:t>−</w:t>
      </w:r>
      <w:r w:rsidRPr="00E327D6">
        <w:rPr>
          <w:rFonts w:ascii="標楷體" w:eastAsia="標楷體" w:hAnsi="標楷體"/>
          <w:color w:val="000000" w:themeColor="text1"/>
        </w:rPr>
        <w:t xml:space="preserve"> 95%。正常情況下常態分佈應給出 cov_pct </w:t>
      </w:r>
      <w:r w:rsidRPr="00E327D6">
        <w:rPr>
          <w:rFonts w:eastAsia="標楷體"/>
          <w:color w:val="000000" w:themeColor="text1"/>
        </w:rPr>
        <w:t>≈</w:t>
      </w:r>
      <w:r w:rsidRPr="00E327D6">
        <w:rPr>
          <w:rFonts w:ascii="標楷體" w:eastAsia="標楷體" w:hAnsi="標楷體"/>
          <w:color w:val="000000" w:themeColor="text1"/>
        </w:rPr>
        <w:t xml:space="preserve"> 97.725%（對應右尾 2.275%），Mean ± 2·SD 區間的 95% 涵蓋為雙側；我們採用</w:t>
      </w:r>
      <w:proofErr w:type="gramStart"/>
      <w:r w:rsidRPr="00E327D6">
        <w:rPr>
          <w:rFonts w:ascii="標楷體" w:eastAsia="標楷體" w:hAnsi="標楷體"/>
          <w:color w:val="000000" w:themeColor="text1"/>
        </w:rPr>
        <w:t>右尾解</w:t>
      </w:r>
      <w:proofErr w:type="gramEnd"/>
      <w:r w:rsidRPr="00E327D6">
        <w:rPr>
          <w:rFonts w:ascii="標楷體" w:eastAsia="標楷體" w:hAnsi="標楷體"/>
          <w:color w:val="000000" w:themeColor="text1"/>
        </w:rPr>
        <w:t>讀，故以 95% 為比較基準與原論文措辭一致。</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b/>
          <w:bCs/>
          <w:color w:val="000000" w:themeColor="text1"/>
        </w:rPr>
        <w:t>（C）下游分類與社群偵測（對應目標二、三）：</w:t>
      </w:r>
      <w:r w:rsidRPr="00E327D6">
        <w:rPr>
          <w:rFonts w:ascii="標楷體" w:eastAsia="標楷體" w:hAnsi="標楷體"/>
          <w:color w:val="000000" w:themeColor="text1"/>
        </w:rPr>
        <w:t>四類連結（silk／bond／local bridge／global bridge）的數量與百分比構成網路指紋 f = (s, b, l, g)，以 f 之 L</w:t>
      </w:r>
      <w:r w:rsidRPr="00E327D6">
        <w:rPr>
          <w:rFonts w:eastAsia="標楷體"/>
          <w:color w:val="000000" w:themeColor="text1"/>
        </w:rPr>
        <w:t>₁</w:t>
      </w:r>
      <w:r w:rsidRPr="00E327D6">
        <w:rPr>
          <w:rFonts w:ascii="標楷體" w:eastAsia="標楷體" w:hAnsi="標楷體"/>
          <w:color w:val="000000" w:themeColor="text1"/>
        </w:rPr>
        <w:t xml:space="preserve"> 差與 cosine similarity 比較 HETA 與 cosHETA 的分類差異；Algorithm 2 遞迴社群分割後以 NMI 對照 ground-truth 社群結構（LFR 情境）或 HPI／Salton 互為對照（REAL16 情境）。</w:t>
      </w:r>
    </w:p>
    <w:p w:rsidR="007E1872" w:rsidRPr="00E327D6" w:rsidRDefault="00523B3D">
      <w:pPr>
        <w:pStyle w:val="3"/>
        <w:rPr>
          <w:rFonts w:ascii="標楷體" w:eastAsia="標楷體" w:hAnsi="標楷體"/>
          <w:color w:val="000000" w:themeColor="text1"/>
        </w:rPr>
      </w:pPr>
      <w:r w:rsidRPr="00E327D6">
        <w:rPr>
          <w:rFonts w:ascii="標楷體" w:eastAsia="標楷體" w:hAnsi="標楷體"/>
          <w:color w:val="000000" w:themeColor="text1"/>
        </w:rPr>
        <w:t>4.3.5　實驗對照機制與分析策略</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b/>
          <w:bCs/>
          <w:color w:val="000000" w:themeColor="text1"/>
        </w:rPr>
        <w:t>對照結構：</w:t>
      </w:r>
      <w:r w:rsidRPr="00E327D6">
        <w:rPr>
          <w:rFonts w:ascii="標楷體" w:eastAsia="標楷體" w:hAnsi="標楷體"/>
          <w:color w:val="000000" w:themeColor="text1"/>
        </w:rPr>
        <w:t>本研究</w:t>
      </w:r>
      <w:proofErr w:type="gramStart"/>
      <w:r w:rsidRPr="00E327D6">
        <w:rPr>
          <w:rFonts w:ascii="標楷體" w:eastAsia="標楷體" w:hAnsi="標楷體"/>
          <w:color w:val="000000" w:themeColor="text1"/>
        </w:rPr>
        <w:t>採</w:t>
      </w:r>
      <w:proofErr w:type="gramEnd"/>
      <w:r w:rsidRPr="00E327D6">
        <w:rPr>
          <w:rFonts w:ascii="標楷體" w:eastAsia="標楷體" w:hAnsi="標楷體"/>
          <w:color w:val="000000" w:themeColor="text1"/>
        </w:rPr>
        <w:t>「分母作為唯一變因」的對照設計。對每</w:t>
      </w:r>
      <w:proofErr w:type="gramStart"/>
      <w:r w:rsidRPr="00E327D6">
        <w:rPr>
          <w:rFonts w:ascii="標楷體" w:eastAsia="標楷體" w:hAnsi="標楷體"/>
          <w:color w:val="000000" w:themeColor="text1"/>
        </w:rPr>
        <w:t>個</w:t>
      </w:r>
      <w:proofErr w:type="gramEnd"/>
      <w:r w:rsidRPr="00E327D6">
        <w:rPr>
          <w:rFonts w:ascii="標楷體" w:eastAsia="標楷體" w:hAnsi="標楷體"/>
          <w:color w:val="000000" w:themeColor="text1"/>
        </w:rPr>
        <w:t>網路同時執行 HETA（min 分母）與 cosHETA（sqrt 分母）兩個管線，其他所有設定——零模型、種子、閾值公式、分類邏輯、k_max、收斂條件——完全一致。</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b/>
          <w:bCs/>
          <w:color w:val="000000" w:themeColor="text1"/>
        </w:rPr>
        <w:t>分析單位：</w:t>
      </w:r>
      <w:r w:rsidRPr="00E327D6">
        <w:rPr>
          <w:rFonts w:ascii="標楷體" w:eastAsia="標楷體" w:hAnsi="標楷體"/>
          <w:color w:val="000000" w:themeColor="text1"/>
        </w:rPr>
        <w:t>（1）單網路分析</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—檢視單一網路在兩種分母下的 R 分佈、閾值、分類結果；（2）群組分析</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—將 WS／NW／REAL16 視為三個群組，統計 mean|skew|、near-sym 比例、cov_pct 平均差距；（3）逐層分析</w:t>
      </w:r>
      <w:proofErr w:type="gramStart"/>
      <w:r w:rsidRPr="00E327D6">
        <w:rPr>
          <w:rFonts w:ascii="標楷體" w:eastAsia="標楷體" w:hAnsi="標楷體"/>
          <w:color w:val="000000" w:themeColor="text1"/>
        </w:rPr>
        <w:t>—</w:t>
      </w:r>
      <w:proofErr w:type="gramEnd"/>
      <w:r w:rsidRPr="00E327D6">
        <w:rPr>
          <w:rFonts w:ascii="標楷體" w:eastAsia="標楷體" w:hAnsi="標楷體"/>
          <w:color w:val="000000" w:themeColor="text1"/>
        </w:rPr>
        <w:t>—針對 k_max &gt; 1 的網路，檢視不同 k 層 R^k 分佈的退化趨勢是否因分母不同而有差異。</w:t>
      </w:r>
    </w:p>
    <w:p w:rsidR="007E1872" w:rsidRPr="00E327D6" w:rsidRDefault="00523B3D">
      <w:pPr>
        <w:pStyle w:val="2"/>
        <w:rPr>
          <w:rFonts w:ascii="標楷體" w:eastAsia="標楷體" w:hAnsi="標楷體"/>
          <w:color w:val="000000" w:themeColor="text1"/>
        </w:rPr>
      </w:pPr>
      <w:r w:rsidRPr="00E327D6">
        <w:rPr>
          <w:rFonts w:ascii="標楷體" w:eastAsia="標楷體" w:hAnsi="標楷體"/>
          <w:color w:val="000000" w:themeColor="text1"/>
        </w:rPr>
        <w:t>4.4　已實現的實驗與結果摘要</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本研究於撰寫當下（2026-04-23）已完成下列實驗，結果詳見第五章。</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b/>
          <w:bCs/>
          <w:color w:val="000000" w:themeColor="text1"/>
        </w:rPr>
        <w:t xml:space="preserve">（1）R </w:t>
      </w:r>
      <w:proofErr w:type="gramStart"/>
      <w:r w:rsidRPr="00E327D6">
        <w:rPr>
          <w:rFonts w:ascii="標楷體" w:eastAsia="標楷體" w:hAnsi="標楷體"/>
          <w:b/>
          <w:bCs/>
          <w:color w:val="000000" w:themeColor="text1"/>
        </w:rPr>
        <w:t>分佈正態性</w:t>
      </w:r>
      <w:proofErr w:type="gramEnd"/>
      <w:r w:rsidRPr="00E327D6">
        <w:rPr>
          <w:rFonts w:ascii="標楷體" w:eastAsia="標楷體" w:hAnsi="標楷體"/>
          <w:b/>
          <w:bCs/>
          <w:color w:val="000000" w:themeColor="text1"/>
        </w:rPr>
        <w:t>檢定（5.1 節）：</w:t>
      </w:r>
      <w:r w:rsidRPr="00E327D6">
        <w:rPr>
          <w:rFonts w:ascii="標楷體" w:eastAsia="標楷體" w:hAnsi="標楷體"/>
          <w:color w:val="000000" w:themeColor="text1"/>
        </w:rPr>
        <w:t xml:space="preserve">num_nulls = 10 pilot 規模，48 </w:t>
      </w:r>
      <w:proofErr w:type="gramStart"/>
      <w:r w:rsidRPr="00E327D6">
        <w:rPr>
          <w:rFonts w:ascii="標楷體" w:eastAsia="標楷體" w:hAnsi="標楷體"/>
          <w:color w:val="000000" w:themeColor="text1"/>
        </w:rPr>
        <w:t>個</w:t>
      </w:r>
      <w:proofErr w:type="gramEnd"/>
      <w:r w:rsidRPr="00E327D6">
        <w:rPr>
          <w:rFonts w:ascii="標楷體" w:eastAsia="標楷體" w:hAnsi="標楷體"/>
          <w:color w:val="000000" w:themeColor="text1"/>
        </w:rPr>
        <w:t xml:space="preserve"> (網路 × 分</w:t>
      </w:r>
      <w:r w:rsidRPr="00E327D6">
        <w:rPr>
          <w:rFonts w:ascii="標楷體" w:eastAsia="標楷體" w:hAnsi="標楷體"/>
          <w:color w:val="000000" w:themeColor="text1"/>
        </w:rPr>
        <w:lastRenderedPageBreak/>
        <w:t xml:space="preserve">母) 樣本。結論：所有樣本 Shapiro-Wilk p </w:t>
      </w:r>
      <w:r w:rsidRPr="00E327D6">
        <w:rPr>
          <w:rFonts w:ascii="Cambria Math" w:eastAsia="標楷體" w:hAnsi="Cambria Math" w:cs="Cambria Math"/>
          <w:color w:val="000000" w:themeColor="text1"/>
        </w:rPr>
        <w:t>≪</w:t>
      </w:r>
      <w:r w:rsidRPr="00E327D6">
        <w:rPr>
          <w:rFonts w:ascii="標楷體" w:eastAsia="標楷體" w:hAnsi="標楷體"/>
          <w:color w:val="000000" w:themeColor="text1"/>
        </w:rPr>
        <w:t xml:space="preserve"> 10</w:t>
      </w:r>
      <w:r w:rsidRPr="00E327D6">
        <w:rPr>
          <w:rFonts w:ascii="MS Mincho" w:eastAsia="MS Mincho" w:hAnsi="MS Mincho" w:cs="MS Mincho" w:hint="eastAsia"/>
          <w:color w:val="000000" w:themeColor="text1"/>
        </w:rPr>
        <w:t>⁻⁶</w:t>
      </w:r>
      <w:r w:rsidRPr="00E327D6">
        <w:rPr>
          <w:rFonts w:ascii="標楷體" w:eastAsia="標楷體" w:hAnsi="標楷體"/>
          <w:color w:val="000000" w:themeColor="text1"/>
        </w:rPr>
        <w:t>、Anderson-Darling A² 遠超拒絕門檻；Salton 在 REAL16 上將 mean|skew| 由 1.294 降至 1.072（17% 改善），near-sym 網路由 4 增至 7；WS／NW 於 6-regular 起點因度數均勻，兩分母差距極小（&lt; 0.1），符合 AM-GM 不等式的理論預測。</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b/>
          <w:bCs/>
          <w:color w:val="000000" w:themeColor="text1"/>
        </w:rPr>
        <w:t>（2）HETA vs cosHETA 200 次模擬對照（5.2 節）：</w:t>
      </w:r>
      <w:r w:rsidRPr="00E327D6">
        <w:rPr>
          <w:rFonts w:ascii="標楷體" w:eastAsia="標楷體" w:hAnsi="標楷體"/>
          <w:color w:val="000000" w:themeColor="text1"/>
        </w:rPr>
        <w:t>num_nulls = 200，完整重現原論文 Fig. 4（WS／NW 第一層分佈）、Fig. 5（REAL16 第一層分佈）、Fig. 6（WS／NW 圓形佈局連結分類）、Fig. 7（REAL16 force-directed 連結分類）、Fig. 8（WS／NW 指紋堆疊長條）、Fig. 9（REAL16 指紋）、Fig. 10／11（相關矩陣）。結論：cosHETA 之 Fig. 8/10/11 與 HETA byte-identical 或近乎相同（差距 &lt; 0.1%），支持「cosHETA 保留原論文拓撲結論」之目標二；Fig. 4-7 在度異質情境下（如 karate、celegans）可見 R 中位數系統性下降與 IQR 收窄，符合 Cosine 幾何性質對度分歧的懲罰。</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b/>
          <w:bCs/>
          <w:color w:val="000000" w:themeColor="text1"/>
        </w:rPr>
        <w:t>（3）待完成實驗：</w:t>
      </w:r>
      <w:r w:rsidRPr="00E327D6">
        <w:rPr>
          <w:rFonts w:ascii="標楷體" w:eastAsia="標楷體" w:hAnsi="標楷體"/>
          <w:color w:val="000000" w:themeColor="text1"/>
        </w:rPr>
        <w:t xml:space="preserve">（a）num_nulls 放大至 1,000 的正式版本；（b）LFR benchmark 在 μ </w:t>
      </w:r>
      <w:r w:rsidRPr="00E327D6">
        <w:rPr>
          <w:rFonts w:ascii="Cambria Math" w:eastAsia="標楷體" w:hAnsi="Cambria Math" w:cs="Cambria Math"/>
          <w:color w:val="000000" w:themeColor="text1"/>
        </w:rPr>
        <w:t>∈</w:t>
      </w:r>
      <w:r w:rsidRPr="00E327D6">
        <w:rPr>
          <w:rFonts w:ascii="標楷體" w:eastAsia="標楷體" w:hAnsi="標楷體"/>
          <w:color w:val="000000" w:themeColor="text1"/>
        </w:rPr>
        <w:t xml:space="preserve"> {0.1, 0.3, 0.5, 0.7} 下的 NMI 社群偵測對照；（c）附加 Jaccard 與 Sørensen 對照，印證 Salton 相對其他對稱指標的優勢；（d）k_max &gt; 1 的網路逐層 R^k 分佈退化分析。</w:t>
      </w:r>
    </w:p>
    <w:p w:rsidR="007E1872" w:rsidRPr="00E327D6" w:rsidRDefault="00523B3D">
      <w:pPr>
        <w:pStyle w:val="2"/>
        <w:rPr>
          <w:rFonts w:ascii="標楷體" w:eastAsia="標楷體" w:hAnsi="標楷體"/>
          <w:color w:val="000000" w:themeColor="text1"/>
        </w:rPr>
      </w:pPr>
      <w:r w:rsidRPr="00E327D6">
        <w:rPr>
          <w:rFonts w:ascii="標楷體" w:eastAsia="標楷體" w:hAnsi="標楷體"/>
          <w:color w:val="000000" w:themeColor="text1"/>
        </w:rPr>
        <w:t>4.5　可重現性與程式碼規範</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所有實驗以 Python 3.10 實作，核心</w:t>
      </w:r>
      <w:proofErr w:type="gramStart"/>
      <w:r w:rsidRPr="00E327D6">
        <w:rPr>
          <w:rFonts w:ascii="標楷體" w:eastAsia="標楷體" w:hAnsi="標楷體"/>
          <w:color w:val="000000" w:themeColor="text1"/>
        </w:rPr>
        <w:t>函式庫為</w:t>
      </w:r>
      <w:proofErr w:type="gramEnd"/>
      <w:r w:rsidRPr="00E327D6">
        <w:rPr>
          <w:rFonts w:ascii="標楷體" w:eastAsia="標楷體" w:hAnsi="標楷體"/>
          <w:color w:val="000000" w:themeColor="text1"/>
        </w:rPr>
        <w:t xml:space="preserve"> NetworkX（零模型、社群偵測）、NumPy（向量運算）、SciPy（Shapiro-Wilk、Anderson-Darling、偏度 kurtosis 計算）、Matplotlib（視覺化）。HPI 分母與 Salton 分母以參數</w:t>
      </w:r>
      <w:proofErr w:type="gramStart"/>
      <w:r w:rsidRPr="00E327D6">
        <w:rPr>
          <w:rFonts w:ascii="標楷體" w:eastAsia="標楷體" w:hAnsi="標楷體"/>
          <w:color w:val="000000" w:themeColor="text1"/>
        </w:rPr>
        <w:t>化函式</w:t>
      </w:r>
      <w:proofErr w:type="gramEnd"/>
      <w:r w:rsidRPr="00E327D6">
        <w:rPr>
          <w:rFonts w:ascii="標楷體" w:eastAsia="標楷體" w:hAnsi="標楷體"/>
          <w:color w:val="000000" w:themeColor="text1"/>
        </w:rPr>
        <w:t xml:space="preserve"> common_neighbor_ratio(G, u, v, k, denom='min' | 'sqrt') 封裝，使對照實驗僅需切換單一參數即可；完整計算管線與對照邏輯已封裝於 experiment/HETA200次模擬／ 與 experiment/cosHETA200次模擬／。</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t>隨機種子固定於 seed = 20260423；記錄格式為每組 (網路, 分母, num_nulls, seed, k_layer) 對應一個 run_info.txt 紀錄檔，存放 6 項統計量、Shapiro-Wilk、Anderson-Darling、cov_pct、gap_from_95，以及所產生的網路指紋。最終程式碼與 pilot／正式數據集將於投稿前公開至 GitHub，附完整 README 說明各實驗的重現步驟。</w:t>
      </w:r>
    </w:p>
    <w:p w:rsidR="007E1872" w:rsidRPr="00E327D6" w:rsidRDefault="00523B3D">
      <w:pPr>
        <w:spacing w:before="60" w:after="120" w:line="360" w:lineRule="auto"/>
        <w:jc w:val="both"/>
        <w:rPr>
          <w:rFonts w:ascii="標楷體" w:eastAsia="標楷體" w:hAnsi="標楷體"/>
          <w:color w:val="000000" w:themeColor="text1"/>
        </w:rPr>
      </w:pPr>
      <w:r w:rsidRPr="00E327D6">
        <w:rPr>
          <w:rFonts w:ascii="標楷體" w:eastAsia="標楷體" w:hAnsi="標楷體"/>
          <w:color w:val="000000" w:themeColor="text1"/>
        </w:rPr>
        <w:lastRenderedPageBreak/>
        <w:t>第五章將以完整的圖表與對照分析，呈現 4.4 所列各實驗的詳細結果。</w:t>
      </w:r>
    </w:p>
    <w:p w:rsidR="007E1872" w:rsidRPr="00E327D6" w:rsidRDefault="00523B3D">
      <w:pPr>
        <w:pStyle w:val="1"/>
        <w:pageBreakBefore/>
        <w:rPr>
          <w:rFonts w:ascii="標楷體" w:eastAsia="標楷體" w:hAnsi="標楷體"/>
          <w:color w:val="000000" w:themeColor="text1"/>
        </w:rPr>
      </w:pPr>
      <w:r w:rsidRPr="00E327D6">
        <w:rPr>
          <w:rFonts w:ascii="標楷體" w:eastAsia="標楷體" w:hAnsi="標楷體"/>
          <w:color w:val="000000" w:themeColor="text1"/>
        </w:rPr>
        <w:lastRenderedPageBreak/>
        <w:t>參考文獻（References）</w:t>
      </w:r>
    </w:p>
    <w:p w:rsidR="007E1872" w:rsidRPr="00E327D6" w:rsidRDefault="00523B3D">
      <w:pPr>
        <w:spacing w:before="60" w:after="120" w:line="360" w:lineRule="auto"/>
        <w:rPr>
          <w:rFonts w:ascii="標楷體" w:eastAsia="標楷體" w:hAnsi="標楷體"/>
          <w:color w:val="000000" w:themeColor="text1"/>
        </w:rPr>
      </w:pPr>
      <w:proofErr w:type="gramStart"/>
      <w:r w:rsidRPr="00E327D6">
        <w:rPr>
          <w:rFonts w:ascii="標楷體" w:eastAsia="標楷體" w:hAnsi="標楷體"/>
          <w:color w:val="000000" w:themeColor="text1"/>
        </w:rPr>
        <w:t>本章依作者</w:t>
      </w:r>
      <w:proofErr w:type="gramEnd"/>
      <w:r w:rsidRPr="00E327D6">
        <w:rPr>
          <w:rFonts w:ascii="標楷體" w:eastAsia="標楷體" w:hAnsi="標楷體"/>
          <w:color w:val="000000" w:themeColor="text1"/>
        </w:rPr>
        <w:t>姓氏字母順序排列；含本文各章引用之全部文獻。</w:t>
      </w:r>
    </w:p>
    <w:p w:rsidR="007E1872" w:rsidRPr="00E327D6" w:rsidRDefault="007E1872">
      <w:pPr>
        <w:spacing w:before="120"/>
        <w:rPr>
          <w:rFonts w:ascii="標楷體" w:eastAsia="標楷體" w:hAnsi="標楷體"/>
          <w:color w:val="000000" w:themeColor="text1"/>
        </w:rPr>
      </w:pP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[1</w:t>
      </w:r>
      <w:proofErr w:type="gramStart"/>
      <w:r w:rsidRPr="00E327D6">
        <w:rPr>
          <w:rFonts w:ascii="標楷體" w:eastAsia="標楷體" w:hAnsi="標楷體"/>
          <w:color w:val="000000" w:themeColor="text1"/>
          <w:sz w:val="22"/>
          <w:szCs w:val="22"/>
        </w:rPr>
        <w:t>]  Adamic</w:t>
      </w:r>
      <w:proofErr w:type="gramEnd"/>
      <w:r w:rsidRPr="00E327D6">
        <w:rPr>
          <w:rFonts w:ascii="標楷體" w:eastAsia="標楷體" w:hAnsi="標楷體"/>
          <w:color w:val="000000" w:themeColor="text1"/>
          <w:sz w:val="22"/>
          <w:szCs w:val="22"/>
        </w:rPr>
        <w:t>, L. A., &amp; Adar, E. (2003). Friends and neighbors on the web. Social Networks, 25(3), 211–230.</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[2</w:t>
      </w:r>
      <w:proofErr w:type="gramStart"/>
      <w:r w:rsidRPr="00E327D6">
        <w:rPr>
          <w:rFonts w:ascii="標楷體" w:eastAsia="標楷體" w:hAnsi="標楷體"/>
          <w:color w:val="000000" w:themeColor="text1"/>
          <w:sz w:val="22"/>
          <w:szCs w:val="22"/>
        </w:rPr>
        <w:t>]  Albert</w:t>
      </w:r>
      <w:proofErr w:type="gramEnd"/>
      <w:r w:rsidRPr="00E327D6">
        <w:rPr>
          <w:rFonts w:ascii="標楷體" w:eastAsia="標楷體" w:hAnsi="標楷體"/>
          <w:color w:val="000000" w:themeColor="text1"/>
          <w:sz w:val="22"/>
          <w:szCs w:val="22"/>
        </w:rPr>
        <w:t>, R., &amp; Barabási, A.-L. (2002). Statistical mechanics of complex networks. Reviews of Modern Physics, 74(1), 47–97.</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[3</w:t>
      </w:r>
      <w:proofErr w:type="gramStart"/>
      <w:r w:rsidRPr="00E327D6">
        <w:rPr>
          <w:rFonts w:ascii="標楷體" w:eastAsia="標楷體" w:hAnsi="標楷體"/>
          <w:color w:val="000000" w:themeColor="text1"/>
          <w:sz w:val="22"/>
          <w:szCs w:val="22"/>
        </w:rPr>
        <w:t>]  Anderson</w:t>
      </w:r>
      <w:proofErr w:type="gramEnd"/>
      <w:r w:rsidRPr="00E327D6">
        <w:rPr>
          <w:rFonts w:ascii="標楷體" w:eastAsia="標楷體" w:hAnsi="標楷體"/>
          <w:color w:val="000000" w:themeColor="text1"/>
          <w:sz w:val="22"/>
          <w:szCs w:val="22"/>
        </w:rPr>
        <w:t>, T. W., &amp; Darling, D. A. (1954). A test of goodness of fit. Journal of the American Statistical Association, 49(268), 765–769.</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[4</w:t>
      </w:r>
      <w:proofErr w:type="gramStart"/>
      <w:r w:rsidRPr="00E327D6">
        <w:rPr>
          <w:rFonts w:ascii="標楷體" w:eastAsia="標楷體" w:hAnsi="標楷體"/>
          <w:color w:val="000000" w:themeColor="text1"/>
          <w:sz w:val="22"/>
          <w:szCs w:val="22"/>
        </w:rPr>
        <w:t>]  Barabási</w:t>
      </w:r>
      <w:proofErr w:type="gramEnd"/>
      <w:r w:rsidRPr="00E327D6">
        <w:rPr>
          <w:rFonts w:ascii="標楷體" w:eastAsia="標楷體" w:hAnsi="標楷體"/>
          <w:color w:val="000000" w:themeColor="text1"/>
          <w:sz w:val="22"/>
          <w:szCs w:val="22"/>
        </w:rPr>
        <w:t>, A.-L., &amp; Albert, R. (1999). Emergence of scaling in random networks. Science, 286(5439), 509–512.</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[5</w:t>
      </w:r>
      <w:proofErr w:type="gramStart"/>
      <w:r w:rsidRPr="00E327D6">
        <w:rPr>
          <w:rFonts w:ascii="標楷體" w:eastAsia="標楷體" w:hAnsi="標楷體"/>
          <w:color w:val="000000" w:themeColor="text1"/>
          <w:sz w:val="22"/>
          <w:szCs w:val="22"/>
        </w:rPr>
        <w:t>]  Barrat</w:t>
      </w:r>
      <w:proofErr w:type="gramEnd"/>
      <w:r w:rsidRPr="00E327D6">
        <w:rPr>
          <w:rFonts w:ascii="標楷體" w:eastAsia="標楷體" w:hAnsi="標楷體"/>
          <w:color w:val="000000" w:themeColor="text1"/>
          <w:sz w:val="22"/>
          <w:szCs w:val="22"/>
        </w:rPr>
        <w:t>, A., Barthélemy, M., Pastor-Satorras, R., &amp; Vespignani, A. (2004). The architecture of complex weighted networks. Proceedings of the National Academy of Sciences, 101(11), 3747–3752.</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[6</w:t>
      </w:r>
      <w:proofErr w:type="gramStart"/>
      <w:r w:rsidRPr="00E327D6">
        <w:rPr>
          <w:rFonts w:ascii="標楷體" w:eastAsia="標楷體" w:hAnsi="標楷體"/>
          <w:color w:val="000000" w:themeColor="text1"/>
          <w:sz w:val="22"/>
          <w:szCs w:val="22"/>
        </w:rPr>
        <w:t>]  Bollobás</w:t>
      </w:r>
      <w:proofErr w:type="gramEnd"/>
      <w:r w:rsidRPr="00E327D6">
        <w:rPr>
          <w:rFonts w:ascii="標楷體" w:eastAsia="標楷體" w:hAnsi="標楷體"/>
          <w:color w:val="000000" w:themeColor="text1"/>
          <w:sz w:val="22"/>
          <w:szCs w:val="22"/>
        </w:rPr>
        <w:t>, B. (1998). Modern Graph Theory. Springer, New York.</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[7</w:t>
      </w:r>
      <w:proofErr w:type="gramStart"/>
      <w:r w:rsidRPr="00E327D6">
        <w:rPr>
          <w:rFonts w:ascii="標楷體" w:eastAsia="標楷體" w:hAnsi="標楷體"/>
          <w:color w:val="000000" w:themeColor="text1"/>
          <w:sz w:val="22"/>
          <w:szCs w:val="22"/>
        </w:rPr>
        <w:t>]  Clauset</w:t>
      </w:r>
      <w:proofErr w:type="gramEnd"/>
      <w:r w:rsidRPr="00E327D6">
        <w:rPr>
          <w:rFonts w:ascii="標楷體" w:eastAsia="標楷體" w:hAnsi="標楷體"/>
          <w:color w:val="000000" w:themeColor="text1"/>
          <w:sz w:val="22"/>
          <w:szCs w:val="22"/>
        </w:rPr>
        <w:t>, A., Moore, C., &amp; Newman, M. E. J. (2008). Hierarchical structure and the prediction of missing links in networks. Nature, 453(7191), 98–101.</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[8</w:t>
      </w:r>
      <w:proofErr w:type="gramStart"/>
      <w:r w:rsidRPr="00E327D6">
        <w:rPr>
          <w:rFonts w:ascii="標楷體" w:eastAsia="標楷體" w:hAnsi="標楷體"/>
          <w:color w:val="000000" w:themeColor="text1"/>
          <w:sz w:val="22"/>
          <w:szCs w:val="22"/>
        </w:rPr>
        <w:t>]  D’Agostino</w:t>
      </w:r>
      <w:proofErr w:type="gramEnd"/>
      <w:r w:rsidRPr="00E327D6">
        <w:rPr>
          <w:rFonts w:ascii="標楷體" w:eastAsia="標楷體" w:hAnsi="標楷體"/>
          <w:color w:val="000000" w:themeColor="text1"/>
          <w:sz w:val="22"/>
          <w:szCs w:val="22"/>
        </w:rPr>
        <w:t>, R. B., &amp; Stephens, M. A. (Eds.). (1986). Goodness-of-Fit Techniques. Marcel Dekker, New York.</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[9</w:t>
      </w:r>
      <w:proofErr w:type="gramStart"/>
      <w:r w:rsidRPr="00E327D6">
        <w:rPr>
          <w:rFonts w:ascii="標楷體" w:eastAsia="標楷體" w:hAnsi="標楷體"/>
          <w:color w:val="000000" w:themeColor="text1"/>
          <w:sz w:val="22"/>
          <w:szCs w:val="22"/>
        </w:rPr>
        <w:t>]  Everett</w:t>
      </w:r>
      <w:proofErr w:type="gramEnd"/>
      <w:r w:rsidRPr="00E327D6">
        <w:rPr>
          <w:rFonts w:ascii="標楷體" w:eastAsia="標楷體" w:hAnsi="標楷體"/>
          <w:color w:val="000000" w:themeColor="text1"/>
          <w:sz w:val="22"/>
          <w:szCs w:val="22"/>
        </w:rPr>
        <w:t>, M. G., &amp; Borgatti, S. P. (1999). The centrality of groups and classes. Journal of Mathematical Sociology, 23(3), 181–201.</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[10</w:t>
      </w:r>
      <w:proofErr w:type="gramStart"/>
      <w:r w:rsidRPr="00E327D6">
        <w:rPr>
          <w:rFonts w:ascii="標楷體" w:eastAsia="標楷體" w:hAnsi="標楷體"/>
          <w:color w:val="000000" w:themeColor="text1"/>
          <w:sz w:val="22"/>
          <w:szCs w:val="22"/>
        </w:rPr>
        <w:t>]  Fronczak</w:t>
      </w:r>
      <w:proofErr w:type="gramEnd"/>
      <w:r w:rsidRPr="00E327D6">
        <w:rPr>
          <w:rFonts w:ascii="標楷體" w:eastAsia="標楷體" w:hAnsi="標楷體"/>
          <w:color w:val="000000" w:themeColor="text1"/>
          <w:sz w:val="22"/>
          <w:szCs w:val="22"/>
        </w:rPr>
        <w:t>, A., Mrowinski, M. J., &amp; Fronczak, P. (2022). Scientific success from the perspective of the strength of weak ties. Scientific Reports, 12, 5074.</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[11</w:t>
      </w:r>
      <w:proofErr w:type="gramStart"/>
      <w:r w:rsidRPr="00E327D6">
        <w:rPr>
          <w:rFonts w:ascii="標楷體" w:eastAsia="標楷體" w:hAnsi="標楷體"/>
          <w:color w:val="000000" w:themeColor="text1"/>
          <w:sz w:val="22"/>
          <w:szCs w:val="22"/>
        </w:rPr>
        <w:t>]  Fu</w:t>
      </w:r>
      <w:proofErr w:type="gramEnd"/>
      <w:r w:rsidRPr="00E327D6">
        <w:rPr>
          <w:rFonts w:ascii="標楷體" w:eastAsia="標楷體" w:hAnsi="標楷體"/>
          <w:color w:val="000000" w:themeColor="text1"/>
          <w:sz w:val="22"/>
          <w:szCs w:val="22"/>
        </w:rPr>
        <w:t>, Y.-H., Huang, C.-Y., &amp; Sun, C.-T. (2017). A community detection algorithm using network topologies and rule-based hierarchical arc-merging strategies. PLOS ONE, 12(11), e0187603.</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[12</w:t>
      </w:r>
      <w:proofErr w:type="gramStart"/>
      <w:r w:rsidRPr="00E327D6">
        <w:rPr>
          <w:rFonts w:ascii="標楷體" w:eastAsia="標楷體" w:hAnsi="標楷體"/>
          <w:color w:val="000000" w:themeColor="text1"/>
          <w:sz w:val="22"/>
          <w:szCs w:val="22"/>
        </w:rPr>
        <w:t>]  Girvan</w:t>
      </w:r>
      <w:proofErr w:type="gramEnd"/>
      <w:r w:rsidRPr="00E327D6">
        <w:rPr>
          <w:rFonts w:ascii="標楷體" w:eastAsia="標楷體" w:hAnsi="標楷體"/>
          <w:color w:val="000000" w:themeColor="text1"/>
          <w:sz w:val="22"/>
          <w:szCs w:val="22"/>
        </w:rPr>
        <w:t>, M., &amp; Newman, M. E. J. (2002). Community structure in social and biological networks. Proceedings of the National Academy of Sciences, 99(12), 7821–7826.</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[13</w:t>
      </w:r>
      <w:proofErr w:type="gramStart"/>
      <w:r w:rsidRPr="00E327D6">
        <w:rPr>
          <w:rFonts w:ascii="標楷體" w:eastAsia="標楷體" w:hAnsi="標楷體"/>
          <w:color w:val="000000" w:themeColor="text1"/>
          <w:sz w:val="22"/>
          <w:szCs w:val="22"/>
        </w:rPr>
        <w:t>]  Granovetter</w:t>
      </w:r>
      <w:proofErr w:type="gramEnd"/>
      <w:r w:rsidRPr="00E327D6">
        <w:rPr>
          <w:rFonts w:ascii="標楷體" w:eastAsia="標楷體" w:hAnsi="標楷體"/>
          <w:color w:val="000000" w:themeColor="text1"/>
          <w:sz w:val="22"/>
          <w:szCs w:val="22"/>
        </w:rPr>
        <w:t>, M. S. (1973). The strength of weak ties. American Journal of Sociology, 78(6), 1360–1380.</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lastRenderedPageBreak/>
        <w:t>[14</w:t>
      </w:r>
      <w:proofErr w:type="gramStart"/>
      <w:r w:rsidRPr="00E327D6">
        <w:rPr>
          <w:rFonts w:ascii="標楷體" w:eastAsia="標楷體" w:hAnsi="標楷體"/>
          <w:color w:val="000000" w:themeColor="text1"/>
          <w:sz w:val="22"/>
          <w:szCs w:val="22"/>
        </w:rPr>
        <w:t>]  Hansen</w:t>
      </w:r>
      <w:proofErr w:type="gramEnd"/>
      <w:r w:rsidRPr="00E327D6">
        <w:rPr>
          <w:rFonts w:ascii="標楷體" w:eastAsia="標楷體" w:hAnsi="標楷體"/>
          <w:color w:val="000000" w:themeColor="text1"/>
          <w:sz w:val="22"/>
          <w:szCs w:val="22"/>
        </w:rPr>
        <w:t>, M. T. (1999). The search-transfer problem: The role of weak ties in sharing knowledge across organization subunits. Administrative Science Quarterly, 44(1), 82–111.</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[15</w:t>
      </w:r>
      <w:proofErr w:type="gramStart"/>
      <w:r w:rsidRPr="00E327D6">
        <w:rPr>
          <w:rFonts w:ascii="標楷體" w:eastAsia="標楷體" w:hAnsi="標楷體"/>
          <w:color w:val="000000" w:themeColor="text1"/>
          <w:sz w:val="22"/>
          <w:szCs w:val="22"/>
        </w:rPr>
        <w:t>]  Huang</w:t>
      </w:r>
      <w:proofErr w:type="gramEnd"/>
      <w:r w:rsidRPr="00E327D6">
        <w:rPr>
          <w:rFonts w:ascii="標楷體" w:eastAsia="標楷體" w:hAnsi="標楷體"/>
          <w:color w:val="000000" w:themeColor="text1"/>
          <w:sz w:val="22"/>
          <w:szCs w:val="22"/>
        </w:rPr>
        <w:t>, C.-Y., Chin, W.-C.-B., Fu, Y.-H., &amp; Tsai, Y.-S. (2019). Beyond bond links in complex networks: Local bridges, global bridges and silk links. Physica A: Statistical Mechanics and its Applications, 536, 121027.</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[16</w:t>
      </w:r>
      <w:proofErr w:type="gramStart"/>
      <w:r w:rsidRPr="00E327D6">
        <w:rPr>
          <w:rFonts w:ascii="標楷體" w:eastAsia="標楷體" w:hAnsi="標楷體"/>
          <w:color w:val="000000" w:themeColor="text1"/>
          <w:sz w:val="22"/>
          <w:szCs w:val="22"/>
        </w:rPr>
        <w:t>]  Jaccard</w:t>
      </w:r>
      <w:proofErr w:type="gramEnd"/>
      <w:r w:rsidRPr="00E327D6">
        <w:rPr>
          <w:rFonts w:ascii="標楷體" w:eastAsia="標楷體" w:hAnsi="標楷體"/>
          <w:color w:val="000000" w:themeColor="text1"/>
          <w:sz w:val="22"/>
          <w:szCs w:val="22"/>
        </w:rPr>
        <w:t>, P. (1901). Distribution de la flore alpine dans le bassin des Dranses et dans quelques régions voisines. Bulletin de la Société Vaudoise des Sciences Naturelles, 37, 241–272.</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[17</w:t>
      </w:r>
      <w:proofErr w:type="gramStart"/>
      <w:r w:rsidRPr="00E327D6">
        <w:rPr>
          <w:rFonts w:ascii="標楷體" w:eastAsia="標楷體" w:hAnsi="標楷體"/>
          <w:color w:val="000000" w:themeColor="text1"/>
          <w:sz w:val="22"/>
          <w:szCs w:val="22"/>
        </w:rPr>
        <w:t>]  Jensen</w:t>
      </w:r>
      <w:proofErr w:type="gramEnd"/>
      <w:r w:rsidRPr="00E327D6">
        <w:rPr>
          <w:rFonts w:ascii="標楷體" w:eastAsia="標楷體" w:hAnsi="標楷體"/>
          <w:color w:val="000000" w:themeColor="text1"/>
          <w:sz w:val="22"/>
          <w:szCs w:val="22"/>
        </w:rPr>
        <w:t>, P., Morini, M., Karsai, M., Venturini, T., Vespignani, A., Jacomy, M., Cointet, J.-P., Mercklé, P., &amp; Fleury, É. (2016). Detecting global bridges in networks. Journal of Complex Networks, 4(3), 319–329.</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[18</w:t>
      </w:r>
      <w:proofErr w:type="gramStart"/>
      <w:r w:rsidRPr="00E327D6">
        <w:rPr>
          <w:rFonts w:ascii="標楷體" w:eastAsia="標楷體" w:hAnsi="標楷體"/>
          <w:color w:val="000000" w:themeColor="text1"/>
          <w:sz w:val="22"/>
          <w:szCs w:val="22"/>
        </w:rPr>
        <w:t>]  Kim</w:t>
      </w:r>
      <w:proofErr w:type="gramEnd"/>
      <w:r w:rsidRPr="00E327D6">
        <w:rPr>
          <w:rFonts w:ascii="標楷體" w:eastAsia="標楷體" w:hAnsi="標楷體"/>
          <w:color w:val="000000" w:themeColor="text1"/>
          <w:sz w:val="22"/>
          <w:szCs w:val="22"/>
        </w:rPr>
        <w:t>, M., &amp; Fernandez, R. M. (2023). What makes weak ties strong? Annual Review of Sociology, 49, 177–193.</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[19</w:t>
      </w:r>
      <w:proofErr w:type="gramStart"/>
      <w:r w:rsidRPr="00E327D6">
        <w:rPr>
          <w:rFonts w:ascii="標楷體" w:eastAsia="標楷體" w:hAnsi="標楷體"/>
          <w:color w:val="000000" w:themeColor="text1"/>
          <w:sz w:val="22"/>
          <w:szCs w:val="22"/>
        </w:rPr>
        <w:t>]  Krackhardt</w:t>
      </w:r>
      <w:proofErr w:type="gramEnd"/>
      <w:r w:rsidRPr="00E327D6">
        <w:rPr>
          <w:rFonts w:ascii="標楷體" w:eastAsia="標楷體" w:hAnsi="標楷體"/>
          <w:color w:val="000000" w:themeColor="text1"/>
          <w:sz w:val="22"/>
          <w:szCs w:val="22"/>
        </w:rPr>
        <w:t>, D. (1999). The ties that torture: Simmelian tie analysis in organizations. Research in the Sociology of Organizations, 16, 183–210.</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[20</w:t>
      </w:r>
      <w:proofErr w:type="gramStart"/>
      <w:r w:rsidRPr="00E327D6">
        <w:rPr>
          <w:rFonts w:ascii="標楷體" w:eastAsia="標楷體" w:hAnsi="標楷體"/>
          <w:color w:val="000000" w:themeColor="text1"/>
          <w:sz w:val="22"/>
          <w:szCs w:val="22"/>
        </w:rPr>
        <w:t>]  Lancichinetti</w:t>
      </w:r>
      <w:proofErr w:type="gramEnd"/>
      <w:r w:rsidRPr="00E327D6">
        <w:rPr>
          <w:rFonts w:ascii="標楷體" w:eastAsia="標楷體" w:hAnsi="標楷體"/>
          <w:color w:val="000000" w:themeColor="text1"/>
          <w:sz w:val="22"/>
          <w:szCs w:val="22"/>
        </w:rPr>
        <w:t>, A., Fortunato, S., &amp; Radicchi, F. (2008). Benchmark graphs for testing community detection algorithms. Physical Review E, 78(4), 046110.</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[21</w:t>
      </w:r>
      <w:proofErr w:type="gramStart"/>
      <w:r w:rsidRPr="00E327D6">
        <w:rPr>
          <w:rFonts w:ascii="標楷體" w:eastAsia="標楷體" w:hAnsi="標楷體"/>
          <w:color w:val="000000" w:themeColor="text1"/>
          <w:sz w:val="22"/>
          <w:szCs w:val="22"/>
        </w:rPr>
        <w:t>]  Lee</w:t>
      </w:r>
      <w:proofErr w:type="gramEnd"/>
      <w:r w:rsidRPr="00E327D6">
        <w:rPr>
          <w:rFonts w:ascii="標楷體" w:eastAsia="標楷體" w:hAnsi="標楷體"/>
          <w:color w:val="000000" w:themeColor="text1"/>
          <w:sz w:val="22"/>
          <w:szCs w:val="22"/>
        </w:rPr>
        <w:t>, H., Kwak, N., &amp; Campbell, S. W. (2015). Hearing the other side revisited: The joint workings of cross-cutting discussion and strong tie homogeneity in facilitating deliberative and participatory democracy. Communication Research, 42(4), 569–596.</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[22</w:t>
      </w:r>
      <w:proofErr w:type="gramStart"/>
      <w:r w:rsidRPr="00E327D6">
        <w:rPr>
          <w:rFonts w:ascii="標楷體" w:eastAsia="標楷體" w:hAnsi="標楷體"/>
          <w:color w:val="000000" w:themeColor="text1"/>
          <w:sz w:val="22"/>
          <w:szCs w:val="22"/>
        </w:rPr>
        <w:t>]  Leicht</w:t>
      </w:r>
      <w:proofErr w:type="gramEnd"/>
      <w:r w:rsidRPr="00E327D6">
        <w:rPr>
          <w:rFonts w:ascii="標楷體" w:eastAsia="標楷體" w:hAnsi="標楷體"/>
          <w:color w:val="000000" w:themeColor="text1"/>
          <w:sz w:val="22"/>
          <w:szCs w:val="22"/>
        </w:rPr>
        <w:t>, E. A., Holme, P., &amp; Newman, M. E. J. (2006). Vertex similarity in networks. Physical Review E, 73(2), 026120.</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[23</w:t>
      </w:r>
      <w:proofErr w:type="gramStart"/>
      <w:r w:rsidRPr="00E327D6">
        <w:rPr>
          <w:rFonts w:ascii="標楷體" w:eastAsia="標楷體" w:hAnsi="標楷體"/>
          <w:color w:val="000000" w:themeColor="text1"/>
          <w:sz w:val="22"/>
          <w:szCs w:val="22"/>
        </w:rPr>
        <w:t>]  Liben</w:t>
      </w:r>
      <w:proofErr w:type="gramEnd"/>
      <w:r w:rsidRPr="00E327D6">
        <w:rPr>
          <w:rFonts w:ascii="標楷體" w:eastAsia="標楷體" w:hAnsi="標楷體"/>
          <w:color w:val="000000" w:themeColor="text1"/>
          <w:sz w:val="22"/>
          <w:szCs w:val="22"/>
        </w:rPr>
        <w:t>-Nowell, D., &amp; Kleinberg, J. (2007). The link-prediction problem for social networks. Journal of the American Society for Information Science and Technology, 58(7), 1019–1031.</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[24</w:t>
      </w:r>
      <w:proofErr w:type="gramStart"/>
      <w:r w:rsidRPr="00E327D6">
        <w:rPr>
          <w:rFonts w:ascii="標楷體" w:eastAsia="標楷體" w:hAnsi="標楷體"/>
          <w:color w:val="000000" w:themeColor="text1"/>
          <w:sz w:val="22"/>
          <w:szCs w:val="22"/>
        </w:rPr>
        <w:t>]  Lü</w:t>
      </w:r>
      <w:proofErr w:type="gramEnd"/>
      <w:r w:rsidRPr="00E327D6">
        <w:rPr>
          <w:rFonts w:ascii="標楷體" w:eastAsia="標楷體" w:hAnsi="標楷體"/>
          <w:color w:val="000000" w:themeColor="text1"/>
          <w:sz w:val="22"/>
          <w:szCs w:val="22"/>
        </w:rPr>
        <w:t>, L., &amp; Zhou, T. (2011). Link prediction in complex networks: A survey. Physica A: Statistical Mechanics and its Applications, 390(6), 1150–1170.</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[25</w:t>
      </w:r>
      <w:proofErr w:type="gramStart"/>
      <w:r w:rsidRPr="00E327D6">
        <w:rPr>
          <w:rFonts w:ascii="標楷體" w:eastAsia="標楷體" w:hAnsi="標楷體"/>
          <w:color w:val="000000" w:themeColor="text1"/>
          <w:sz w:val="22"/>
          <w:szCs w:val="22"/>
        </w:rPr>
        <w:t>]  Maslov</w:t>
      </w:r>
      <w:proofErr w:type="gramEnd"/>
      <w:r w:rsidRPr="00E327D6">
        <w:rPr>
          <w:rFonts w:ascii="標楷體" w:eastAsia="標楷體" w:hAnsi="標楷體"/>
          <w:color w:val="000000" w:themeColor="text1"/>
          <w:sz w:val="22"/>
          <w:szCs w:val="22"/>
        </w:rPr>
        <w:t>, S., &amp; Sneppen, K. (2002). Specificity and stability in topology of protein networks. Science, 296(5569), 910–913.</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[26</w:t>
      </w:r>
      <w:proofErr w:type="gramStart"/>
      <w:r w:rsidRPr="00E327D6">
        <w:rPr>
          <w:rFonts w:ascii="標楷體" w:eastAsia="標楷體" w:hAnsi="標楷體"/>
          <w:color w:val="000000" w:themeColor="text1"/>
          <w:sz w:val="22"/>
          <w:szCs w:val="22"/>
        </w:rPr>
        <w:t>]  McCann</w:t>
      </w:r>
      <w:proofErr w:type="gramEnd"/>
      <w:r w:rsidRPr="00E327D6">
        <w:rPr>
          <w:rFonts w:ascii="標楷體" w:eastAsia="標楷體" w:hAnsi="標楷體"/>
          <w:color w:val="000000" w:themeColor="text1"/>
          <w:sz w:val="22"/>
          <w:szCs w:val="22"/>
        </w:rPr>
        <w:t>, K., Hastings, A., &amp; Huxel, G. R. (1998). Weak trophic interactions and the balance of nature. Nature, 395(6704), 794–798.</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[27</w:t>
      </w:r>
      <w:proofErr w:type="gramStart"/>
      <w:r w:rsidRPr="00E327D6">
        <w:rPr>
          <w:rFonts w:ascii="標楷體" w:eastAsia="標楷體" w:hAnsi="標楷體"/>
          <w:color w:val="000000" w:themeColor="text1"/>
          <w:sz w:val="22"/>
          <w:szCs w:val="22"/>
        </w:rPr>
        <w:t>]  Milo</w:t>
      </w:r>
      <w:proofErr w:type="gramEnd"/>
      <w:r w:rsidRPr="00E327D6">
        <w:rPr>
          <w:rFonts w:ascii="標楷體" w:eastAsia="標楷體" w:hAnsi="標楷體"/>
          <w:color w:val="000000" w:themeColor="text1"/>
          <w:sz w:val="22"/>
          <w:szCs w:val="22"/>
        </w:rPr>
        <w:t xml:space="preserve">, R., Kashtan, N., Itzkovitz, S., Newman, M. E. J., &amp; Alon, U. (2003). On </w:t>
      </w:r>
      <w:r w:rsidRPr="00E327D6">
        <w:rPr>
          <w:rFonts w:ascii="標楷體" w:eastAsia="標楷體" w:hAnsi="標楷體"/>
          <w:color w:val="000000" w:themeColor="text1"/>
          <w:sz w:val="22"/>
          <w:szCs w:val="22"/>
        </w:rPr>
        <w:lastRenderedPageBreak/>
        <w:t>the uniform generation of random graphs with prescribed degree sequences. arXiv: cond-mat / 0312028.</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[28</w:t>
      </w:r>
      <w:proofErr w:type="gramStart"/>
      <w:r w:rsidRPr="00E327D6">
        <w:rPr>
          <w:rFonts w:ascii="標楷體" w:eastAsia="標楷體" w:hAnsi="標楷體"/>
          <w:color w:val="000000" w:themeColor="text1"/>
          <w:sz w:val="22"/>
          <w:szCs w:val="22"/>
        </w:rPr>
        <w:t>]  Newman</w:t>
      </w:r>
      <w:proofErr w:type="gramEnd"/>
      <w:r w:rsidRPr="00E327D6">
        <w:rPr>
          <w:rFonts w:ascii="標楷體" w:eastAsia="標楷體" w:hAnsi="標楷體"/>
          <w:color w:val="000000" w:themeColor="text1"/>
          <w:sz w:val="22"/>
          <w:szCs w:val="22"/>
        </w:rPr>
        <w:t>, M. E. J. (2003). The structure and function of complex networks. SIAM Review, 45(2), 167–256.</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[29</w:t>
      </w:r>
      <w:proofErr w:type="gramStart"/>
      <w:r w:rsidRPr="00E327D6">
        <w:rPr>
          <w:rFonts w:ascii="標楷體" w:eastAsia="標楷體" w:hAnsi="標楷體"/>
          <w:color w:val="000000" w:themeColor="text1"/>
          <w:sz w:val="22"/>
          <w:szCs w:val="22"/>
        </w:rPr>
        <w:t>]  Onnela</w:t>
      </w:r>
      <w:proofErr w:type="gramEnd"/>
      <w:r w:rsidRPr="00E327D6">
        <w:rPr>
          <w:rFonts w:ascii="標楷體" w:eastAsia="標楷體" w:hAnsi="標楷體"/>
          <w:color w:val="000000" w:themeColor="text1"/>
          <w:sz w:val="22"/>
          <w:szCs w:val="22"/>
        </w:rPr>
        <w:t>, J.-P., Saramäki, J., Hyvönen, J., Szabó, G., Lazer, D., Kaski, K., Kertész, J., &amp; Barabási, A.-L. (2007). Structure and tie strengths in mobile communication networks. Proceedings of the National Academy of Sciences, 104(18), 7332–7336.</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[30</w:t>
      </w:r>
      <w:proofErr w:type="gramStart"/>
      <w:r w:rsidRPr="00E327D6">
        <w:rPr>
          <w:rFonts w:ascii="標楷體" w:eastAsia="標楷體" w:hAnsi="標楷體"/>
          <w:color w:val="000000" w:themeColor="text1"/>
          <w:sz w:val="22"/>
          <w:szCs w:val="22"/>
        </w:rPr>
        <w:t>]  Putnam</w:t>
      </w:r>
      <w:proofErr w:type="gramEnd"/>
      <w:r w:rsidRPr="00E327D6">
        <w:rPr>
          <w:rFonts w:ascii="標楷體" w:eastAsia="標楷體" w:hAnsi="標楷體"/>
          <w:color w:val="000000" w:themeColor="text1"/>
          <w:sz w:val="22"/>
          <w:szCs w:val="22"/>
        </w:rPr>
        <w:t>, R. D. (2001). Bowling Alone: The Collapse and Revival of American Community. Simon &amp; Schuster, New York.</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[31</w:t>
      </w:r>
      <w:proofErr w:type="gramStart"/>
      <w:r w:rsidRPr="00E327D6">
        <w:rPr>
          <w:rFonts w:ascii="標楷體" w:eastAsia="標楷體" w:hAnsi="標楷體"/>
          <w:color w:val="000000" w:themeColor="text1"/>
          <w:sz w:val="22"/>
          <w:szCs w:val="22"/>
        </w:rPr>
        <w:t>]  Rajkumar</w:t>
      </w:r>
      <w:proofErr w:type="gramEnd"/>
      <w:r w:rsidRPr="00E327D6">
        <w:rPr>
          <w:rFonts w:ascii="標楷體" w:eastAsia="標楷體" w:hAnsi="標楷體"/>
          <w:color w:val="000000" w:themeColor="text1"/>
          <w:sz w:val="22"/>
          <w:szCs w:val="22"/>
        </w:rPr>
        <w:t>, K., Saint-Jacques, G., Bojinov, I., Brynjolfsson, E., &amp; Aral, S. (2022). A causal test of the strength of weak ties. Science, 377(6612), 1304–1310.</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[32</w:t>
      </w:r>
      <w:proofErr w:type="gramStart"/>
      <w:r w:rsidRPr="00E327D6">
        <w:rPr>
          <w:rFonts w:ascii="標楷體" w:eastAsia="標楷體" w:hAnsi="標楷體"/>
          <w:color w:val="000000" w:themeColor="text1"/>
          <w:sz w:val="22"/>
          <w:szCs w:val="22"/>
        </w:rPr>
        <w:t>]  Ravasz</w:t>
      </w:r>
      <w:proofErr w:type="gramEnd"/>
      <w:r w:rsidRPr="00E327D6">
        <w:rPr>
          <w:rFonts w:ascii="標楷體" w:eastAsia="標楷體" w:hAnsi="標楷體"/>
          <w:color w:val="000000" w:themeColor="text1"/>
          <w:sz w:val="22"/>
          <w:szCs w:val="22"/>
        </w:rPr>
        <w:t>, E., Somera, A. L., Mongru, D. A., Oltvai, Z. N., &amp; Barabási, A.-L. (2002). Hierarchical organization of modularity in metabolic networks. Science, 297(5586), 1551–1555.</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[33</w:t>
      </w:r>
      <w:proofErr w:type="gramStart"/>
      <w:r w:rsidRPr="00E327D6">
        <w:rPr>
          <w:rFonts w:ascii="標楷體" w:eastAsia="標楷體" w:hAnsi="標楷體"/>
          <w:color w:val="000000" w:themeColor="text1"/>
          <w:sz w:val="22"/>
          <w:szCs w:val="22"/>
        </w:rPr>
        <w:t>]  Salton</w:t>
      </w:r>
      <w:proofErr w:type="gramEnd"/>
      <w:r w:rsidRPr="00E327D6">
        <w:rPr>
          <w:rFonts w:ascii="標楷體" w:eastAsia="標楷體" w:hAnsi="標楷體"/>
          <w:color w:val="000000" w:themeColor="text1"/>
          <w:sz w:val="22"/>
          <w:szCs w:val="22"/>
        </w:rPr>
        <w:t>, G., &amp; McGill, M. J. (1983). Introduction to Modern Information Retrieval. McGraw-Hill, New York.</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[34</w:t>
      </w:r>
      <w:proofErr w:type="gramStart"/>
      <w:r w:rsidRPr="00E327D6">
        <w:rPr>
          <w:rFonts w:ascii="標楷體" w:eastAsia="標楷體" w:hAnsi="標楷體"/>
          <w:color w:val="000000" w:themeColor="text1"/>
          <w:sz w:val="22"/>
          <w:szCs w:val="22"/>
        </w:rPr>
        <w:t>]  Shapiro</w:t>
      </w:r>
      <w:proofErr w:type="gramEnd"/>
      <w:r w:rsidRPr="00E327D6">
        <w:rPr>
          <w:rFonts w:ascii="標楷體" w:eastAsia="標楷體" w:hAnsi="標楷體"/>
          <w:color w:val="000000" w:themeColor="text1"/>
          <w:sz w:val="22"/>
          <w:szCs w:val="22"/>
        </w:rPr>
        <w:t>, S. S., &amp; Wilk, M. B. (1965). An analysis of variance test for normality (complete samples). Biometrika, 52(3–4), 591–611.</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[35</w:t>
      </w:r>
      <w:proofErr w:type="gramStart"/>
      <w:r w:rsidRPr="00E327D6">
        <w:rPr>
          <w:rFonts w:ascii="標楷體" w:eastAsia="標楷體" w:hAnsi="標楷體"/>
          <w:color w:val="000000" w:themeColor="text1"/>
          <w:sz w:val="22"/>
          <w:szCs w:val="22"/>
        </w:rPr>
        <w:t>]  Sørensen</w:t>
      </w:r>
      <w:proofErr w:type="gramEnd"/>
      <w:r w:rsidRPr="00E327D6">
        <w:rPr>
          <w:rFonts w:ascii="標楷體" w:eastAsia="標楷體" w:hAnsi="標楷體"/>
          <w:color w:val="000000" w:themeColor="text1"/>
          <w:sz w:val="22"/>
          <w:szCs w:val="22"/>
        </w:rPr>
        <w:t>, T. (1948). A method of establishing groups of equal amplitude in plant sociology based on similarity of species content and its application to analyses of the vegetation on Danish commons. Biologiske Skrifter, 5, 1–34.</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[36</w:t>
      </w:r>
      <w:proofErr w:type="gramStart"/>
      <w:r w:rsidRPr="00E327D6">
        <w:rPr>
          <w:rFonts w:ascii="標楷體" w:eastAsia="標楷體" w:hAnsi="標楷體"/>
          <w:color w:val="000000" w:themeColor="text1"/>
          <w:sz w:val="22"/>
          <w:szCs w:val="22"/>
        </w:rPr>
        <w:t>]  Watts</w:t>
      </w:r>
      <w:proofErr w:type="gramEnd"/>
      <w:r w:rsidRPr="00E327D6">
        <w:rPr>
          <w:rFonts w:ascii="標楷體" w:eastAsia="標楷體" w:hAnsi="標楷體"/>
          <w:color w:val="000000" w:themeColor="text1"/>
          <w:sz w:val="22"/>
          <w:szCs w:val="22"/>
        </w:rPr>
        <w:t>, D. J., &amp; Strogatz, S. H. (1998). Collective dynamics of ‘small-world’ networks. Nature, 393(6684), 440–442.</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[37</w:t>
      </w:r>
      <w:proofErr w:type="gramStart"/>
      <w:r w:rsidRPr="00E327D6">
        <w:rPr>
          <w:rFonts w:ascii="標楷體" w:eastAsia="標楷體" w:hAnsi="標楷體"/>
          <w:color w:val="000000" w:themeColor="text1"/>
          <w:sz w:val="22"/>
          <w:szCs w:val="22"/>
        </w:rPr>
        <w:t>]  Wu</w:t>
      </w:r>
      <w:proofErr w:type="gramEnd"/>
      <w:r w:rsidRPr="00E327D6">
        <w:rPr>
          <w:rFonts w:ascii="標楷體" w:eastAsia="標楷體" w:hAnsi="標楷體"/>
          <w:color w:val="000000" w:themeColor="text1"/>
          <w:sz w:val="22"/>
          <w:szCs w:val="22"/>
        </w:rPr>
        <w:t>, A.-K., Tian, L., &amp; Liu, Y.-Y. (2018). Bridges in complex networks. Physical Review E, 97(1), 012307.</w:t>
      </w:r>
    </w:p>
    <w:p w:rsidR="007E1872" w:rsidRPr="00E327D6" w:rsidRDefault="00523B3D">
      <w:pPr>
        <w:spacing w:before="20" w:after="80" w:line="320" w:lineRule="auto"/>
        <w:ind w:left="720" w:hanging="720"/>
        <w:jc w:val="both"/>
        <w:rPr>
          <w:rFonts w:ascii="標楷體" w:eastAsia="標楷體" w:hAnsi="標楷體"/>
          <w:color w:val="000000" w:themeColor="text1"/>
        </w:rPr>
      </w:pPr>
      <w:r w:rsidRPr="00E327D6">
        <w:rPr>
          <w:rFonts w:ascii="標楷體" w:eastAsia="標楷體" w:hAnsi="標楷體"/>
          <w:color w:val="000000" w:themeColor="text1"/>
          <w:sz w:val="22"/>
          <w:szCs w:val="22"/>
        </w:rPr>
        <w:t>[38</w:t>
      </w:r>
      <w:proofErr w:type="gramStart"/>
      <w:r w:rsidRPr="00E327D6">
        <w:rPr>
          <w:rFonts w:ascii="標楷體" w:eastAsia="標楷體" w:hAnsi="標楷體"/>
          <w:color w:val="000000" w:themeColor="text1"/>
          <w:sz w:val="22"/>
          <w:szCs w:val="22"/>
        </w:rPr>
        <w:t>]  Zhou</w:t>
      </w:r>
      <w:proofErr w:type="gramEnd"/>
      <w:r w:rsidRPr="00E327D6">
        <w:rPr>
          <w:rFonts w:ascii="標楷體" w:eastAsia="標楷體" w:hAnsi="標楷體"/>
          <w:color w:val="000000" w:themeColor="text1"/>
          <w:sz w:val="22"/>
          <w:szCs w:val="22"/>
        </w:rPr>
        <w:t>, T., Lü, L., &amp; Zhang, Y.-C. (2009). Predicting missing links via local information. European Physical Journal B, 71(4), 623–630.</w:t>
      </w:r>
    </w:p>
    <w:sectPr w:rsidR="007E1872" w:rsidRPr="00E327D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21419" w:rsidRDefault="00721419">
      <w:r>
        <w:separator/>
      </w:r>
    </w:p>
  </w:endnote>
  <w:endnote w:type="continuationSeparator" w:id="0">
    <w:p w:rsidR="00721419" w:rsidRDefault="00721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1872" w:rsidRDefault="00523B3D">
    <w:pPr>
      <w:jc w:val="center"/>
    </w:pPr>
    <w:r>
      <w:rPr>
        <w:rFonts w:eastAsia="Times New Roman"/>
        <w:sz w:val="20"/>
        <w:szCs w:val="20"/>
      </w:rPr>
      <w:t xml:space="preserve">第 </w:t>
    </w:r>
    <w:r>
      <w:rPr>
        <w:sz w:val="20"/>
        <w:szCs w:val="20"/>
      </w:rPr>
      <w:fldChar w:fldCharType="begin"/>
    </w:r>
    <w:r>
      <w:rPr>
        <w:rFonts w:eastAsia="Times New Roman"/>
        <w:sz w:val="20"/>
        <w:szCs w:val="20"/>
      </w:rPr>
      <w:instrText>PAGE</w:instrText>
    </w:r>
    <w:r>
      <w:rPr>
        <w:sz w:val="20"/>
        <w:szCs w:val="20"/>
      </w:rPr>
      <w:fldChar w:fldCharType="separate"/>
    </w:r>
    <w:r w:rsidR="00236880">
      <w:rPr>
        <w:rFonts w:eastAsia="Times New Roman"/>
        <w:noProof/>
        <w:sz w:val="20"/>
        <w:szCs w:val="20"/>
      </w:rPr>
      <w:t>1</w:t>
    </w:r>
    <w:r>
      <w:rPr>
        <w:sz w:val="20"/>
        <w:szCs w:val="20"/>
      </w:rPr>
      <w:fldChar w:fldCharType="end"/>
    </w:r>
    <w:r>
      <w:rPr>
        <w:rFonts w:eastAsia="Times New Roman"/>
        <w:sz w:val="20"/>
        <w:szCs w:val="20"/>
      </w:rPr>
      <w:t xml:space="preserve"> </w:t>
    </w:r>
    <w:proofErr w:type="gramStart"/>
    <w:r>
      <w:rPr>
        <w:rFonts w:eastAsia="Times New Roman"/>
        <w:sz w:val="20"/>
        <w:szCs w:val="20"/>
      </w:rPr>
      <w:t>頁  /</w:t>
    </w:r>
    <w:proofErr w:type="gramEnd"/>
    <w:r>
      <w:rPr>
        <w:rFonts w:eastAsia="Times New Roman"/>
        <w:sz w:val="20"/>
        <w:szCs w:val="20"/>
      </w:rPr>
      <w:t xml:space="preserve">  共 </w:t>
    </w:r>
    <w:r>
      <w:rPr>
        <w:sz w:val="20"/>
        <w:szCs w:val="20"/>
      </w:rPr>
      <w:fldChar w:fldCharType="begin"/>
    </w:r>
    <w:r>
      <w:rPr>
        <w:rFonts w:eastAsia="Times New Roman"/>
        <w:sz w:val="20"/>
        <w:szCs w:val="20"/>
      </w:rPr>
      <w:instrText>NUMPAGES</w:instrText>
    </w:r>
    <w:r>
      <w:rPr>
        <w:sz w:val="20"/>
        <w:szCs w:val="20"/>
      </w:rPr>
      <w:fldChar w:fldCharType="separate"/>
    </w:r>
    <w:r w:rsidR="00236880">
      <w:rPr>
        <w:rFonts w:eastAsia="Times New Roman"/>
        <w:noProof/>
        <w:sz w:val="20"/>
        <w:szCs w:val="20"/>
      </w:rPr>
      <w:t>1</w:t>
    </w:r>
    <w:r>
      <w:rPr>
        <w:sz w:val="20"/>
        <w:szCs w:val="20"/>
      </w:rPr>
      <w:fldChar w:fldCharType="end"/>
    </w:r>
    <w:r>
      <w:rPr>
        <w:rFonts w:eastAsia="Times New Roman"/>
        <w:sz w:val="20"/>
        <w:szCs w:val="20"/>
      </w:rPr>
      <w:t xml:space="preserve"> 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21419" w:rsidRDefault="00721419">
      <w:r>
        <w:separator/>
      </w:r>
    </w:p>
  </w:footnote>
  <w:footnote w:type="continuationSeparator" w:id="0">
    <w:p w:rsidR="00721419" w:rsidRDefault="00721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1872" w:rsidRDefault="00523B3D">
    <w:pPr>
      <w:jc w:val="right"/>
    </w:pPr>
    <w:r>
      <w:rPr>
        <w:rFonts w:eastAsia="Times New Roman"/>
        <w:i/>
        <w:iCs/>
        <w:color w:val="595959"/>
        <w:sz w:val="18"/>
        <w:szCs w:val="18"/>
      </w:rPr>
      <w:t xml:space="preserve">以 Salton Index 修正 </w:t>
    </w:r>
    <w:proofErr w:type="gramStart"/>
    <w:r>
      <w:rPr>
        <w:rFonts w:eastAsia="Times New Roman"/>
        <w:i/>
        <w:iCs/>
        <w:color w:val="595959"/>
        <w:sz w:val="18"/>
        <w:szCs w:val="18"/>
      </w:rPr>
      <w:t>HETA  |</w:t>
    </w:r>
    <w:proofErr w:type="gramEnd"/>
    <w:r>
      <w:rPr>
        <w:rFonts w:eastAsia="Times New Roman"/>
        <w:i/>
        <w:iCs/>
        <w:color w:val="595959"/>
        <w:sz w:val="18"/>
        <w:szCs w:val="18"/>
      </w:rPr>
      <w:t xml:space="preserve">  Chapters 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D5144BD"/>
    <w:multiLevelType w:val="hybridMultilevel"/>
    <w:tmpl w:val="95D8E388"/>
    <w:lvl w:ilvl="0" w:tplc="613A784A">
      <w:start w:val="1"/>
      <w:numFmt w:val="bullet"/>
      <w:lvlText w:val="●"/>
      <w:lvlJc w:val="left"/>
      <w:pPr>
        <w:ind w:left="720" w:hanging="360"/>
      </w:pPr>
    </w:lvl>
    <w:lvl w:ilvl="1" w:tplc="4F0A8A24">
      <w:start w:val="1"/>
      <w:numFmt w:val="bullet"/>
      <w:lvlText w:val="○"/>
      <w:lvlJc w:val="left"/>
      <w:pPr>
        <w:ind w:left="1440" w:hanging="360"/>
      </w:pPr>
    </w:lvl>
    <w:lvl w:ilvl="2" w:tplc="1190FFBE">
      <w:start w:val="1"/>
      <w:numFmt w:val="bullet"/>
      <w:lvlText w:val="■"/>
      <w:lvlJc w:val="left"/>
      <w:pPr>
        <w:ind w:left="2160" w:hanging="360"/>
      </w:pPr>
    </w:lvl>
    <w:lvl w:ilvl="3" w:tplc="B7C6A33C">
      <w:start w:val="1"/>
      <w:numFmt w:val="bullet"/>
      <w:lvlText w:val="●"/>
      <w:lvlJc w:val="left"/>
      <w:pPr>
        <w:ind w:left="2880" w:hanging="360"/>
      </w:pPr>
    </w:lvl>
    <w:lvl w:ilvl="4" w:tplc="C9905104">
      <w:start w:val="1"/>
      <w:numFmt w:val="bullet"/>
      <w:lvlText w:val="○"/>
      <w:lvlJc w:val="left"/>
      <w:pPr>
        <w:ind w:left="3600" w:hanging="360"/>
      </w:pPr>
    </w:lvl>
    <w:lvl w:ilvl="5" w:tplc="5E16FA58">
      <w:start w:val="1"/>
      <w:numFmt w:val="bullet"/>
      <w:lvlText w:val="■"/>
      <w:lvlJc w:val="left"/>
      <w:pPr>
        <w:ind w:left="4320" w:hanging="360"/>
      </w:pPr>
    </w:lvl>
    <w:lvl w:ilvl="6" w:tplc="917E03FA">
      <w:start w:val="1"/>
      <w:numFmt w:val="bullet"/>
      <w:lvlText w:val="●"/>
      <w:lvlJc w:val="left"/>
      <w:pPr>
        <w:ind w:left="5040" w:hanging="360"/>
      </w:pPr>
    </w:lvl>
    <w:lvl w:ilvl="7" w:tplc="F02451BA">
      <w:start w:val="1"/>
      <w:numFmt w:val="bullet"/>
      <w:lvlText w:val="●"/>
      <w:lvlJc w:val="left"/>
      <w:pPr>
        <w:ind w:left="5760" w:hanging="360"/>
      </w:pPr>
    </w:lvl>
    <w:lvl w:ilvl="8" w:tplc="D556ED8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bordersDoNotSurroundHeader/>
  <w:bordersDoNotSurroundFooter/>
  <w:proofState w:grammar="clean"/>
  <w:defaultTabStop w:val="48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872"/>
    <w:rsid w:val="00125C88"/>
    <w:rsid w:val="00136CED"/>
    <w:rsid w:val="00236880"/>
    <w:rsid w:val="002909D4"/>
    <w:rsid w:val="002A4436"/>
    <w:rsid w:val="003401B4"/>
    <w:rsid w:val="004E2725"/>
    <w:rsid w:val="00523B3D"/>
    <w:rsid w:val="00721419"/>
    <w:rsid w:val="00744064"/>
    <w:rsid w:val="007C02B9"/>
    <w:rsid w:val="007E1872"/>
    <w:rsid w:val="00C452B4"/>
    <w:rsid w:val="00E327D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ECB17D"/>
  <w15:docId w15:val="{2EBB29E2-FCB1-4EFE-819F-E202CD4C3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uiPriority w:val="9"/>
    <w:qFormat/>
    <w:pPr>
      <w:spacing w:before="400" w:after="200"/>
      <w:outlineLvl w:val="0"/>
    </w:pPr>
    <w:rPr>
      <w:rFonts w:eastAsia="Times New Roman"/>
      <w:b/>
      <w:bCs/>
      <w:color w:val="1F3864"/>
      <w:sz w:val="36"/>
      <w:szCs w:val="36"/>
    </w:rPr>
  </w:style>
  <w:style w:type="paragraph" w:styleId="2">
    <w:name w:val="heading 2"/>
    <w:uiPriority w:val="9"/>
    <w:unhideWhenUsed/>
    <w:qFormat/>
    <w:pPr>
      <w:spacing w:before="320" w:after="160"/>
      <w:outlineLvl w:val="1"/>
    </w:pPr>
    <w:rPr>
      <w:rFonts w:eastAsia="Times New Roman"/>
      <w:b/>
      <w:bCs/>
      <w:color w:val="2E74B5"/>
      <w:sz w:val="28"/>
      <w:szCs w:val="28"/>
    </w:rPr>
  </w:style>
  <w:style w:type="paragraph" w:styleId="3">
    <w:name w:val="heading 3"/>
    <w:uiPriority w:val="9"/>
    <w:unhideWhenUsed/>
    <w:qFormat/>
    <w:pPr>
      <w:spacing w:before="240" w:after="120"/>
      <w:outlineLvl w:val="2"/>
    </w:pPr>
    <w:rPr>
      <w:rFonts w:eastAsia="Times New Roman"/>
      <w:b/>
      <w:bCs/>
      <w:color w:val="2E74B5"/>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2909D4"/>
    <w:pPr>
      <w:tabs>
        <w:tab w:val="center" w:pos="4153"/>
        <w:tab w:val="right" w:pos="8306"/>
      </w:tabs>
      <w:snapToGrid w:val="0"/>
    </w:pPr>
    <w:rPr>
      <w:sz w:val="20"/>
      <w:szCs w:val="20"/>
    </w:rPr>
  </w:style>
  <w:style w:type="character" w:customStyle="1" w:styleId="ad">
    <w:name w:val="頁首 字元"/>
    <w:basedOn w:val="a0"/>
    <w:link w:val="ac"/>
    <w:uiPriority w:val="99"/>
    <w:rsid w:val="002909D4"/>
    <w:rPr>
      <w:sz w:val="20"/>
      <w:szCs w:val="20"/>
    </w:rPr>
  </w:style>
  <w:style w:type="paragraph" w:styleId="ae">
    <w:name w:val="footer"/>
    <w:basedOn w:val="a"/>
    <w:link w:val="af"/>
    <w:uiPriority w:val="99"/>
    <w:unhideWhenUsed/>
    <w:rsid w:val="002909D4"/>
    <w:pPr>
      <w:tabs>
        <w:tab w:val="center" w:pos="4153"/>
        <w:tab w:val="right" w:pos="8306"/>
      </w:tabs>
      <w:snapToGrid w:val="0"/>
    </w:pPr>
    <w:rPr>
      <w:sz w:val="20"/>
      <w:szCs w:val="20"/>
    </w:rPr>
  </w:style>
  <w:style w:type="character" w:customStyle="1" w:styleId="af">
    <w:name w:val="頁尾 字元"/>
    <w:basedOn w:val="a0"/>
    <w:link w:val="ae"/>
    <w:uiPriority w:val="99"/>
    <w:rsid w:val="002909D4"/>
    <w:rPr>
      <w:sz w:val="20"/>
      <w:szCs w:val="20"/>
    </w:rPr>
  </w:style>
  <w:style w:type="paragraph" w:customStyle="1" w:styleId="font-claude-response-body">
    <w:name w:val="font-claude-response-body"/>
    <w:basedOn w:val="a"/>
    <w:rsid w:val="002A4436"/>
    <w:pPr>
      <w:widowControl/>
      <w:spacing w:before="100" w:beforeAutospacing="1" w:after="100" w:afterAutospacing="1"/>
    </w:pPr>
    <w:rPr>
      <w:rFonts w:ascii="新細明體" w:eastAsia="新細明體" w:hAnsi="新細明體" w:cs="新細明體"/>
    </w:rPr>
  </w:style>
  <w:style w:type="character" w:styleId="af0">
    <w:name w:val="Strong"/>
    <w:basedOn w:val="a0"/>
    <w:uiPriority w:val="22"/>
    <w:qFormat/>
    <w:rsid w:val="002A4436"/>
    <w:rPr>
      <w:b/>
      <w:bCs/>
    </w:rPr>
  </w:style>
  <w:style w:type="character" w:styleId="af1">
    <w:name w:val="Emphasis"/>
    <w:basedOn w:val="a0"/>
    <w:uiPriority w:val="20"/>
    <w:qFormat/>
    <w:rsid w:val="002A44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70161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19</Pages>
  <Words>3111</Words>
  <Characters>17739</Characters>
  <Application>Microsoft Office Word</Application>
  <DocSecurity>0</DocSecurity>
  <Lines>147</Lines>
  <Paragraphs>41</Paragraphs>
  <ScaleCrop>false</ScaleCrop>
  <Company/>
  <LinksUpToDate>false</LinksUpToDate>
  <CharactersWithSpaces>20809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cosHETA Chapters 1-4 (v2)</dc:title>
  <dc:creator>Claude</dc:creator>
  <dc:description>Chapters 1-4: Ch 1 &amp; 2 copied from proposal v7; Ch 3 on HPI-normality mismatch; Ch 4 on method and experimental design</dc:description>
  <cp:lastModifiedBy>翁旻醇</cp:lastModifiedBy>
  <cp:revision>5</cp:revision>
  <dcterms:created xsi:type="dcterms:W3CDTF">2026-04-23T16:29:00Z</dcterms:created>
  <dcterms:modified xsi:type="dcterms:W3CDTF">2026-04-24T11:26:00Z</dcterms:modified>
</cp:coreProperties>
</file>