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r>
        <w:rPr>
          <w:rFonts w:ascii="宋体" w:hAnsi="宋体"/>
          <w:sz w:val="33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542290</wp:posOffset>
            </wp:positionH>
            <wp:positionV relativeFrom="paragraph">
              <wp:posOffset>12065</wp:posOffset>
            </wp:positionV>
            <wp:extent cx="3441700" cy="853440"/>
            <wp:effectExtent l="0" t="0" r="0" b="0"/>
            <wp:wrapNone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jc w:val="center"/>
      </w:pPr>
    </w:p>
    <w:p/>
    <w:p/>
    <w:p/>
    <w:p/>
    <w:p>
      <w:pPr>
        <w:spacing w:line="239" w:lineRule="auto"/>
        <w:ind w:left="60"/>
        <w:rPr>
          <w:rFonts w:ascii="宋体" w:hAnsi="宋体"/>
          <w:sz w:val="33"/>
        </w:rPr>
      </w:pPr>
    </w:p>
    <w:p>
      <w:pPr>
        <w:spacing w:line="239" w:lineRule="auto"/>
        <w:ind w:left="60"/>
        <w:rPr>
          <w:rFonts w:ascii="宋体" w:hAnsi="宋体"/>
          <w:sz w:val="33"/>
        </w:rPr>
      </w:pPr>
    </w:p>
    <w:p>
      <w:pPr>
        <w:spacing w:line="239" w:lineRule="auto"/>
        <w:ind w:left="60"/>
        <w:rPr>
          <w:rFonts w:ascii="宋体" w:hAnsi="宋体"/>
          <w:sz w:val="33"/>
        </w:rPr>
      </w:pPr>
    </w:p>
    <w:p>
      <w:pPr>
        <w:spacing w:line="239" w:lineRule="auto"/>
        <w:ind w:left="60"/>
        <w:rPr>
          <w:rFonts w:ascii="宋体" w:hAnsi="宋体"/>
          <w:sz w:val="33"/>
        </w:rPr>
      </w:pPr>
    </w:p>
    <w:p>
      <w:pPr>
        <w:tabs>
          <w:tab w:val="left" w:pos="840"/>
        </w:tabs>
        <w:ind w:firstLine="1257" w:firstLineChars="381"/>
        <w:rPr>
          <w:rFonts w:ascii="宋体" w:hAnsi="宋体"/>
          <w:sz w:val="33"/>
        </w:rPr>
      </w:pPr>
      <w:r>
        <w:rPr>
          <w:rFonts w:ascii="宋体" w:hAnsi="宋体"/>
          <w:sz w:val="33"/>
        </w:rPr>
        <w:t>课 程</w:t>
      </w:r>
      <w:r>
        <w:rPr>
          <w:rFonts w:hint="eastAsia" w:ascii="宋体" w:hAnsi="宋体"/>
          <w:sz w:val="33"/>
        </w:rPr>
        <w:t xml:space="preserve"> ____传感与检测技术______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</w:rPr>
      </w:pPr>
      <w:r>
        <w:rPr>
          <w:rFonts w:ascii="宋体" w:hAnsi="宋体"/>
          <w:sz w:val="34"/>
        </w:rPr>
        <w:t>项 目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Cs w:val="21"/>
          <w:u w:val="single"/>
        </w:rPr>
        <w:t>基于CC253</w:t>
      </w:r>
      <w:r>
        <w:rPr>
          <w:rFonts w:ascii="宋体" w:hAnsi="宋体"/>
          <w:szCs w:val="21"/>
          <w:u w:val="single"/>
        </w:rPr>
        <w:t>0</w:t>
      </w:r>
      <w:r>
        <w:rPr>
          <w:rFonts w:hint="eastAsia" w:ascii="宋体" w:hAnsi="宋体"/>
          <w:szCs w:val="21"/>
          <w:u w:val="single"/>
        </w:rPr>
        <w:t>实现惯导传感器MPU6050数据采集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</w:rPr>
      </w:pPr>
      <w:r>
        <w:rPr>
          <w:rFonts w:ascii="宋体" w:hAnsi="宋体"/>
          <w:sz w:val="34"/>
        </w:rPr>
        <w:t>专 业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______</w:t>
      </w:r>
      <w:r>
        <w:rPr>
          <w:rFonts w:hint="eastAsia" w:ascii="宋体" w:hAnsi="宋体"/>
          <w:sz w:val="33"/>
          <w:lang w:val="en-US" w:eastAsia="zh-CN"/>
        </w:rPr>
        <w:t>交通运输工程</w:t>
      </w:r>
      <w:r>
        <w:rPr>
          <w:rFonts w:hint="eastAsia" w:ascii="宋体" w:hAnsi="宋体"/>
          <w:sz w:val="33"/>
        </w:rPr>
        <w:t>__________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</w:rPr>
      </w:pPr>
      <w:r>
        <w:rPr>
          <w:rFonts w:ascii="宋体" w:hAnsi="宋体"/>
          <w:sz w:val="34"/>
        </w:rPr>
        <w:t>班 级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______</w:t>
      </w:r>
      <w:r>
        <w:rPr>
          <w:rFonts w:hint="eastAsia" w:ascii="宋体" w:hAnsi="宋体"/>
          <w:sz w:val="33"/>
          <w:lang w:val="en-US" w:eastAsia="zh-CN"/>
        </w:rPr>
        <w:t>交通运输工程2301</w:t>
      </w:r>
      <w:r>
        <w:rPr>
          <w:rFonts w:hint="eastAsia" w:ascii="宋体" w:hAnsi="宋体"/>
          <w:sz w:val="33"/>
        </w:rPr>
        <w:t>_____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</w:rPr>
      </w:pPr>
      <w:r>
        <w:rPr>
          <w:rFonts w:ascii="宋体" w:hAnsi="宋体"/>
          <w:sz w:val="34"/>
        </w:rPr>
        <w:t>学 号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</w:t>
      </w:r>
      <w:r>
        <w:rPr>
          <w:rFonts w:ascii="宋体" w:hAnsi="宋体"/>
          <w:sz w:val="33"/>
        </w:rPr>
        <w:t>22</w:t>
      </w:r>
      <w:r>
        <w:rPr>
          <w:rFonts w:hint="eastAsia" w:ascii="宋体" w:hAnsi="宋体"/>
          <w:sz w:val="33"/>
          <w:lang w:val="en-US" w:eastAsia="zh-CN"/>
        </w:rPr>
        <w:t>3</w:t>
      </w:r>
      <w:r>
        <w:rPr>
          <w:rFonts w:ascii="宋体" w:hAnsi="宋体"/>
          <w:sz w:val="33"/>
        </w:rPr>
        <w:t>1</w:t>
      </w:r>
      <w:r>
        <w:rPr>
          <w:rFonts w:hint="eastAsia" w:ascii="宋体" w:hAnsi="宋体"/>
          <w:sz w:val="33"/>
          <w:lang w:val="en-US" w:eastAsia="zh-CN"/>
        </w:rPr>
        <w:t>8</w:t>
      </w:r>
      <w:r>
        <w:rPr>
          <w:rFonts w:ascii="宋体" w:hAnsi="宋体"/>
          <w:sz w:val="33"/>
        </w:rPr>
        <w:t>0</w:t>
      </w:r>
      <w:r>
        <w:rPr>
          <w:rFonts w:hint="eastAsia" w:ascii="宋体" w:hAnsi="宋体"/>
          <w:sz w:val="33"/>
          <w:lang w:val="en-US" w:eastAsia="zh-CN"/>
        </w:rPr>
        <w:t>1</w:t>
      </w:r>
      <w:r>
        <w:rPr>
          <w:rFonts w:ascii="宋体" w:hAnsi="宋体"/>
          <w:sz w:val="33"/>
        </w:rPr>
        <w:t>0</w:t>
      </w:r>
      <w:r>
        <w:rPr>
          <w:rFonts w:hint="eastAsia" w:ascii="宋体" w:hAnsi="宋体"/>
          <w:sz w:val="33"/>
          <w:lang w:val="en-US" w:eastAsia="zh-CN"/>
        </w:rPr>
        <w:t>15</w:t>
      </w:r>
      <w:r>
        <w:rPr>
          <w:rFonts w:hint="eastAsia" w:ascii="宋体" w:hAnsi="宋体"/>
          <w:sz w:val="33"/>
        </w:rPr>
        <w:t>_________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</w:rPr>
      </w:pPr>
      <w:r>
        <w:rPr>
          <w:rFonts w:ascii="宋体" w:hAnsi="宋体"/>
          <w:sz w:val="34"/>
        </w:rPr>
        <w:t>姓 名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________</w:t>
      </w:r>
      <w:r>
        <w:rPr>
          <w:rFonts w:hint="eastAsia" w:ascii="宋体" w:hAnsi="宋体"/>
          <w:sz w:val="33"/>
          <w:lang w:val="en-US" w:eastAsia="zh-CN"/>
        </w:rPr>
        <w:t>翁泽康</w:t>
      </w:r>
      <w:r>
        <w:rPr>
          <w:rFonts w:hint="eastAsia" w:ascii="宋体" w:hAnsi="宋体"/>
          <w:sz w:val="33"/>
        </w:rPr>
        <w:t>____________</w:t>
      </w:r>
    </w:p>
    <w:p>
      <w:pPr>
        <w:tabs>
          <w:tab w:val="left" w:pos="840"/>
        </w:tabs>
        <w:ind w:firstLine="1295" w:firstLineChars="381"/>
        <w:rPr>
          <w:rFonts w:ascii="宋体" w:hAnsi="宋体"/>
          <w:sz w:val="34"/>
        </w:rPr>
      </w:pPr>
      <w:r>
        <w:rPr>
          <w:rFonts w:ascii="宋体" w:hAnsi="宋体"/>
          <w:sz w:val="34"/>
        </w:rPr>
        <w:t>日 期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______</w:t>
      </w:r>
      <w:r>
        <w:rPr>
          <w:rFonts w:ascii="宋体" w:hAnsi="宋体"/>
          <w:sz w:val="33"/>
        </w:rPr>
        <w:t>202</w:t>
      </w:r>
      <w:r>
        <w:rPr>
          <w:rFonts w:hint="eastAsia" w:ascii="宋体" w:hAnsi="宋体"/>
          <w:sz w:val="33"/>
          <w:lang w:val="en-US" w:eastAsia="zh-CN"/>
        </w:rPr>
        <w:t>4</w:t>
      </w:r>
      <w:r>
        <w:rPr>
          <w:rFonts w:hint="eastAsia" w:ascii="宋体" w:hAnsi="宋体"/>
          <w:sz w:val="33"/>
        </w:rPr>
        <w:t>.</w:t>
      </w:r>
      <w:r>
        <w:rPr>
          <w:rFonts w:hint="eastAsia" w:ascii="宋体" w:hAnsi="宋体"/>
          <w:sz w:val="33"/>
          <w:lang w:val="en-US" w:eastAsia="zh-CN"/>
        </w:rPr>
        <w:t>1</w:t>
      </w:r>
      <w:r>
        <w:rPr>
          <w:rFonts w:ascii="宋体" w:hAnsi="宋体"/>
          <w:sz w:val="33"/>
        </w:rPr>
        <w:t>.</w:t>
      </w:r>
      <w:r>
        <w:rPr>
          <w:rFonts w:hint="eastAsia" w:ascii="宋体" w:hAnsi="宋体"/>
          <w:sz w:val="33"/>
          <w:lang w:val="en-US" w:eastAsia="zh-CN"/>
        </w:rPr>
        <w:t>16</w:t>
      </w:r>
      <w:r>
        <w:rPr>
          <w:rFonts w:hint="eastAsia" w:ascii="宋体" w:hAnsi="宋体"/>
          <w:sz w:val="33"/>
        </w:rPr>
        <w:t>_________</w:t>
      </w:r>
    </w:p>
    <w:p>
      <w:pPr>
        <w:spacing w:line="0" w:lineRule="atLeast"/>
        <w:ind w:left="20"/>
        <w:rPr>
          <w:rFonts w:ascii="宋体" w:hAnsi="宋体"/>
          <w:sz w:val="34"/>
        </w:rPr>
      </w:pPr>
    </w:p>
    <w:p/>
    <w:p/>
    <w:p/>
    <w:p/>
    <w:p/>
    <w:tbl>
      <w:tblPr>
        <w:tblStyle w:val="4"/>
        <w:tblpPr w:leftFromText="180" w:rightFromText="180" w:vertAnchor="text" w:horzAnchor="page" w:tblpX="1804" w:tblpY="1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7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shd w:val="clear" w:color="auto" w:fill="auto"/>
          </w:tcPr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  <w:r>
              <w:rPr>
                <w:rFonts w:ascii="宋体" w:hAnsi="宋体"/>
                <w:sz w:val="36"/>
              </w:rPr>
              <w:t>实</w:t>
            </w: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  <w:r>
              <w:rPr>
                <w:rFonts w:ascii="宋体" w:hAnsi="宋体"/>
                <w:sz w:val="36"/>
              </w:rPr>
              <w:t>验</w:t>
            </w: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  <w:r>
              <w:rPr>
                <w:rFonts w:hint="eastAsia" w:ascii="宋体" w:hAnsi="宋体"/>
                <w:sz w:val="36"/>
              </w:rPr>
              <w:t>任</w:t>
            </w: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  <w:r>
              <w:rPr>
                <w:rFonts w:hint="eastAsia" w:ascii="宋体" w:hAnsi="宋体"/>
                <w:sz w:val="36"/>
              </w:rPr>
              <w:t>务</w:t>
            </w:r>
          </w:p>
        </w:tc>
        <w:tc>
          <w:tcPr>
            <w:tcW w:w="7684" w:type="dxa"/>
            <w:shd w:val="clear" w:color="auto" w:fill="auto"/>
          </w:tcPr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基于CC2530实现惯导传感器MPU6050的数据采集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6" w:hRule="atLeast"/>
        </w:trPr>
        <w:tc>
          <w:tcPr>
            <w:tcW w:w="838" w:type="dxa"/>
            <w:shd w:val="clear" w:color="auto" w:fill="auto"/>
            <w:vAlign w:val="center"/>
          </w:tcPr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实</w:t>
            </w:r>
          </w:p>
          <w:p>
            <w:pPr>
              <w:widowControl w:val="0"/>
              <w:spacing w:line="346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验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报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告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内</w:t>
            </w:r>
          </w:p>
          <w:p>
            <w:pPr>
              <w:widowControl w:val="0"/>
              <w:spacing w:line="342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jc w:val="center"/>
            </w:pPr>
            <w:r>
              <w:rPr>
                <w:rFonts w:ascii="宋体" w:hAnsi="宋体"/>
                <w:sz w:val="40"/>
              </w:rPr>
              <w:t>容</w:t>
            </w:r>
          </w:p>
        </w:tc>
        <w:tc>
          <w:tcPr>
            <w:tcW w:w="7684" w:type="dxa"/>
            <w:shd w:val="clear" w:color="auto" w:fill="auto"/>
          </w:tcPr>
          <w:p>
            <w:pPr>
              <w:widowControl w:val="0"/>
              <w:spacing w:line="400" w:lineRule="exact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1.关键技术和传感器介绍</w:t>
            </w:r>
            <w:r>
              <w:rPr>
                <w:rFonts w:hint="eastAsia" w:ascii="Cambria" w:hAnsi="Cambria"/>
                <w:szCs w:val="21"/>
              </w:rPr>
              <w:t>：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1.1 CC2530：</w:t>
            </w:r>
            <w:r>
              <w:rPr>
                <w:rFonts w:hint="eastAsia" w:ascii="Cambria" w:hAnsi="Cambria"/>
                <w:szCs w:val="21"/>
              </w:rPr>
              <w:t>CC2530是由德州仪器（Texas Instruments）研发的一款低功耗无线系统芯片。该芯片遵循IEEE 802.15.4标准，并内置了强大的2.4GHz无线收发功能。其设计针对低功耗无线通信和物联网（IoT）应用，为这些领域提供了可靠的无线连接解决方案。CC2530的特性使其成为在资源受限的环境中进行有效通信的理想选择，满足了对低功耗和高性能的需求</w:t>
            </w:r>
            <w:r>
              <w:rPr>
                <w:rFonts w:ascii="Cambria" w:hAnsi="Cambria"/>
                <w:szCs w:val="21"/>
              </w:rPr>
              <w:t>。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1.2 MPU6050：</w:t>
            </w:r>
            <w:r>
              <w:rPr>
                <w:rFonts w:hint="eastAsia" w:ascii="Cambria" w:hAnsi="Cambria"/>
                <w:szCs w:val="21"/>
              </w:rPr>
              <w:t>MPU6050是一种惯性测量单元（IMU），集成了三轴加速度计和三轴陀螺仪。它能够准确测量物体的加速度和角速度，提供高质量的传感器数据。通过I2C总线，MPU6050可以与主控制器进行通信，便捷地连接到各类微控制器和处理器。其高度集成和卓越的准确度使其成为广泛应用于物联网、机器人、移动设备、无人机以及虚拟现实等领域的理想选择。MPU6050还具备灵活的配置选项和中断功能，为开发者提供了更多自定义设置和响应的可能性。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1.3 I2C：</w:t>
            </w:r>
            <w:r>
              <w:rPr>
                <w:rFonts w:hint="eastAsia" w:ascii="Cambria" w:hAnsi="Cambria"/>
                <w:szCs w:val="21"/>
              </w:rPr>
              <w:t>I2C，全称Inter-Integrated Circuit，又被称为IIC（Inter-IC）或TWI（Two-Wire Interface），是一种串行通信协议。它是一种简单而高效的通信接口，被广泛用于连接多个芯片或模块之间的通信。 I2C协议使用两根线，一根是数据线（SDA），另一根是时钟线（SCL），使得多个设备可以在同一总线上进行通信。这种通信方式简化了硬件连接，使得不同设备之间可以方便地进行数据交换。1</w:t>
            </w:r>
            <w:r>
              <w:rPr>
                <w:rFonts w:ascii="Cambria" w:hAnsi="Cambria"/>
                <w:szCs w:val="21"/>
              </w:rPr>
              <w:t>.4MPU6050</w:t>
            </w:r>
            <w:r>
              <w:rPr>
                <w:rFonts w:hint="eastAsia" w:ascii="Cambria" w:hAnsi="Cambria"/>
                <w:szCs w:val="21"/>
              </w:rPr>
              <w:t>的寄存器：</w:t>
            </w:r>
          </w:p>
          <w:p>
            <w:pPr>
              <w:widowControl w:val="0"/>
              <w:spacing w:line="400" w:lineRule="exact"/>
              <w:ind w:firstLine="630" w:firstLineChars="300"/>
              <w:jc w:val="both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1</w:t>
            </w:r>
            <w:r>
              <w:rPr>
                <w:rFonts w:ascii="Cambria" w:hAnsi="Cambria"/>
                <w:szCs w:val="21"/>
              </w:rPr>
              <w:t>.4.1螺旋仪配置寄存器 </w:t>
            </w:r>
          </w:p>
          <w:p>
            <w:pPr>
              <w:widowControl w:val="0"/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drawing>
                <wp:inline distT="0" distB="0" distL="0" distR="0">
                  <wp:extent cx="4696460" cy="478155"/>
                  <wp:effectExtent l="0" t="0" r="0" b="0"/>
                  <wp:docPr id="11680291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029116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587" cy="479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该寄存器我们只关心FS_SEL[1:0]这两个位，用于设置陀螺仪的满量程范围：0，±250°/s；1，±5 00°/s；2，±1000°/s；3，±2000°/s；我们一般设置为2，即±1000°/S，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 xml:space="preserve">  1.4.2</w:t>
            </w:r>
            <w:r>
              <w:rPr>
                <w:rFonts w:hint="eastAsia" w:ascii="Cambria" w:hAnsi="Cambria"/>
                <w:szCs w:val="21"/>
              </w:rPr>
              <w:t>加速度寄存器</w:t>
            </w: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drawing>
                <wp:inline distT="0" distB="0" distL="0" distR="0">
                  <wp:extent cx="4742180" cy="491490"/>
                  <wp:effectExtent l="0" t="0" r="1270" b="3810"/>
                  <wp:docPr id="4104046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40465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18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400" w:lineRule="exact"/>
              <w:jc w:val="both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</w:t>
            </w:r>
            <w:r>
              <w:rPr>
                <w:rFonts w:ascii="Cambria" w:hAnsi="Cambria"/>
                <w:szCs w:val="21"/>
              </w:rPr>
              <w:t xml:space="preserve">     该寄存器我们只关心AFS_SEL[1:0]这两个位，用于设置加速度传感器的满量程范围：0，±2g；1，±4g；2，±8g；3，±16g；我们一般设置为2，即±8g，</w:t>
            </w:r>
          </w:p>
          <w:p>
            <w:pPr>
              <w:widowControl w:val="0"/>
              <w:spacing w:line="400" w:lineRule="exact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2.实验目的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本设计中，通过采用I2C通信方式，实现了CC2530与HMC5883L的有效通信。该通信过程包括通过程序读取HMC5883L内部寄存器的值，并进行相应的运算，得到三轴的角速度和加速度信息。这些数据随后通过串口传输至电脑，通过上位机软件实现了对CC2530读取的三轴角速度和加速度的实时监测。这一设计方案通过串口通信将嵌入式系统与上位机连接，为实时监测提供了可靠的数据传输通道，有助于用户及时获取和分析传感器数据。</w:t>
            </w:r>
          </w:p>
          <w:p>
            <w:pPr>
              <w:widowControl w:val="0"/>
              <w:spacing w:line="400" w:lineRule="exact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3.实验步骤：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3.1操作步骤：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1.</w:t>
            </w:r>
            <w:r>
              <w:rPr>
                <w:rFonts w:hint="eastAsia" w:ascii="Cambria" w:hAnsi="Cambria"/>
                <w:szCs w:val="21"/>
              </w:rPr>
              <w:t>在本设计中，首先通过仔细研读CC2530芯片手册，了解了HMC5883L寄存器的读取方式和通讯协议。然后，借助IAR集成开发环境，编写了相应的程序，并生成了hex文件。接着，通过烧录线将电脑与CC2530连接，使用烧录软件SmartRF Flash Programmer将编写好的程序成功烧写至CC2530芯片。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进一步，通过I2C通信协议，将MPU6050与CC2530进行连接，并利用USB转TTL线将电脑与CC2530建立通信通道。最后，通过上位机串口调试助手(XCOM)，实时观察和监测MPU6050传感器读取的三轴角速度和加速度数据。这一系列步骤实现了CC2530芯片与传感器的协同工作，通过串口通信方式将传感器数据传输至上位机，为后续数据分析和应用提供了可靠的基础。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3.2读取MPU6050数值的步骤</w:t>
            </w:r>
            <w:r>
              <w:rPr>
                <w:rFonts w:hint="eastAsia" w:ascii="Cambria" w:hAnsi="Cambria"/>
                <w:szCs w:val="21"/>
              </w:rPr>
              <w:t>：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3.2.1流程图</w:t>
            </w:r>
            <w:r>
              <w:rPr>
                <w:rFonts w:hint="eastAsia" w:ascii="Cambria" w:hAnsi="Cambria"/>
                <w:szCs w:val="21"/>
              </w:rPr>
              <w:t>：</w:t>
            </w:r>
          </w:p>
          <w:p>
            <w:pPr>
              <w:widowControl w:val="0"/>
              <w:jc w:val="center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drawing>
                <wp:inline distT="0" distB="0" distL="0" distR="0">
                  <wp:extent cx="3198495" cy="3590925"/>
                  <wp:effectExtent l="0" t="0" r="1905" b="9525"/>
                  <wp:docPr id="4551442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14423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676" cy="363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 xml:space="preserve">     CC2530先启动I2C,对MPU6050 的寄存器进行配置，其中将陀螺仪的量程设置为 +/- 1000°/s，加速度计的量程设置为 +/- 8g。再通过函数依次读出x轴、y轴、z轴的加速度和角速度，再通过精度将其换算成以g为单位的加速度和以°/s为单位的角速度，最后通过上位机显示三轴的角速度和加速度的数据。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 xml:space="preserve"> 3.2.2关键程序</w:t>
            </w:r>
            <w:r>
              <w:rPr>
                <w:rFonts w:hint="eastAsia" w:ascii="Cambria" w:hAnsi="Cambria"/>
                <w:szCs w:val="21"/>
              </w:rPr>
              <w:t>：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#include &lt;stdio.h&gt;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// 定义I2C通信引脚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#define SCL P1_3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#define SDA P1_2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// 陀螺仪配置寄存器和加速度计配置寄存器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#define MPU6050_GYRO_CONFIG</w:t>
            </w:r>
            <w:r>
              <w:rPr>
                <w:rFonts w:hint="eastAsia" w:ascii="Cambria" w:hAnsi="Cambria"/>
                <w:szCs w:val="21"/>
              </w:rPr>
              <w:tab/>
            </w:r>
            <w:r>
              <w:rPr>
                <w:rFonts w:hint="eastAsia" w:ascii="Cambria" w:hAnsi="Cambria"/>
                <w:szCs w:val="21"/>
              </w:rPr>
              <w:t>0x10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#define MPU6050_ACCEL_CONFIG</w:t>
            </w:r>
            <w:r>
              <w:rPr>
                <w:rFonts w:hint="eastAsia" w:ascii="Cambria" w:hAnsi="Cambria"/>
                <w:szCs w:val="21"/>
              </w:rPr>
              <w:tab/>
            </w:r>
            <w:r>
              <w:rPr>
                <w:rFonts w:hint="eastAsia" w:ascii="Cambria" w:hAnsi="Cambria"/>
                <w:szCs w:val="21"/>
              </w:rPr>
              <w:t>0x10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// 从MPU6050陀螺仪加速度计模块读取指定寄存器的数据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uint MPU6050_ReadReg(uint reg) {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实现具体的读取寄存器的功能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...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}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// 从MPU6050陀螺仪加速度计模块读取X、Y、Z轴的加速度计和陀螺仪的原始数据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void MPU6050_GetData(int* AX, int* AY, int* AZ, int* GX, int* GY, int* GZ) {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uint DataH, DataL;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DataH = MPU6050_ReadReg(MPU6050_ACCEL_XOUT_H);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DataL = MPU6050_ReadReg(MPU6050_ACCEL_XOUT_L);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*AX = (DataH &lt;&lt; 8 | DataL);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读取Y、Z轴的数据，类似处理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...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DataH = MPU6050_ReadReg(MPU6050_GYRO_XOUT_H);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DataL = MPU6050_ReadReg(MPU6050_GYRO_XOUT_L);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*GX = (DataH &lt;&lt; 8 | DataL);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读取Y、Z轴的数据，类似处理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...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}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// 结构体用于存储加速度计和陀螺仪的物理值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struct MPU6050_Data {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float accel_x;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float accel_y;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float accel_z;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float gyro_x;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float gyro_y;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float gyro_z;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};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// 从MPU6050陀螺仪加速度计模块读取原始的加速度计和陀螺仪数据，并将其乘以比例尺转换为实际的物理值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MPU6050_Data MPU6050_GetDataWithScale() {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int AX, AY, AZ, GX, GY, GZ;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MPU6050_GetData(&amp;AX, &amp;AY, &amp;AZ, &amp;GX, &amp;GY, &amp;GZ);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float accel_scale = 8.0 / 32767.0; // 加速度计量程为 +/- 8g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float gyro_scale = 1000.0 / 32767.0; // 陀螺仪量程为 +/- 1000°/s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MPU6050_Data data;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data.accel_x = AX * accel_scale;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data.accel_y = AY * accel_scale;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data.accel_z = AZ * accel_scale;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data.gyro_x = GX * gyro_scale;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data.gyro_y = GY * gyro_scale;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data.gyro_z = GZ * gyro_scale;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return data;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}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// 初始化串口通信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void InitUart() {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实现具体的串口初始化操作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...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}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// 主函数，通过循环读取MPU6050模块的数据并通过串口打印输出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int main(void) {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InitUart(); // 初始化串口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while(1) {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    MPU6050_Data data = MPU6050_GetDataWithScale();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    printf("AX: %.2f g\n AY: %.2f g\n AZ: %.2f g\n", data.accel_x, data.accel_y, data.accel_z);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    printf("GX: %.2f °/s\n GY: %.2f °/s\n GZ: %.2f °/s\n", data.gyro_x, data.gyro_y, data.gyro_z);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}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return 0;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}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7" w:hRule="atLeast"/>
        </w:trPr>
        <w:tc>
          <w:tcPr>
            <w:tcW w:w="838" w:type="dxa"/>
            <w:shd w:val="clear" w:color="auto" w:fill="auto"/>
            <w:vAlign w:val="center"/>
          </w:tcPr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实</w:t>
            </w:r>
          </w:p>
          <w:p>
            <w:pPr>
              <w:widowControl w:val="0"/>
              <w:spacing w:line="346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验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报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告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内</w:t>
            </w:r>
          </w:p>
          <w:p>
            <w:pPr>
              <w:widowControl w:val="0"/>
              <w:spacing w:line="342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容</w:t>
            </w:r>
          </w:p>
        </w:tc>
        <w:tc>
          <w:tcPr>
            <w:tcW w:w="7684" w:type="dxa"/>
            <w:shd w:val="clear" w:color="auto" w:fill="auto"/>
          </w:tcPr>
          <w:p>
            <w:pPr>
              <w:spacing w:line="400" w:lineRule="exact"/>
              <w:jc w:val="both"/>
            </w:pPr>
            <w:r>
              <w:t>4结论</w:t>
            </w:r>
            <w:r>
              <w:rPr>
                <w:rFonts w:hint="eastAsia"/>
              </w:rPr>
              <w:t>：</w:t>
            </w:r>
          </w:p>
          <w:p>
            <w:pPr>
              <w:spacing w:line="400" w:lineRule="exact"/>
              <w:jc w:val="both"/>
            </w:pPr>
            <w:r>
              <w:t xml:space="preserve">    通过在串口调试助手(XCOM)上对数据结果的观察，本实验能准确的通过CC2530芯片读取了MPU6050传感器的x轴，y轴，z轴加速度和角速度的数据</w:t>
            </w:r>
            <w:r>
              <w:rPr>
                <w:rFonts w:hint="eastAsia"/>
              </w:rPr>
              <w:t>。</w:t>
            </w:r>
          </w:p>
          <w:p>
            <w:pPr>
              <w:widowControl w:val="0"/>
              <w:jc w:val="center"/>
              <w:rPr>
                <w:rFonts w:ascii="Cambria" w:hAnsi="Cambria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81095" cy="2890520"/>
                  <wp:effectExtent l="0" t="0" r="5080" b="5080"/>
                  <wp:docPr id="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095" cy="289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400" w:lineRule="atLeast"/>
              <w:ind w:firstLine="420" w:firstLine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通过进一步分析这些数据，我们可以检测物体的加速度变化情况，从而推测其运动方式。通过计算加速度在三个轴上的变化，我们能够了解物体的运动方向和速度。此外，通过对陀螺仪数据的处理，我们能够计算出物体的角速度，从而了解物体的旋转情况。</w:t>
            </w:r>
          </w:p>
          <w:p>
            <w:pPr>
              <w:spacing w:line="400" w:lineRule="atLeast"/>
              <w:ind w:firstLine="420" w:firstLine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这样的信息对于许多应用领域都非常有用。例如，在姿态控制中，我们可以通过监测加速度和角速度来判断设备的方向和旋转情况。在运动追踪中，这些数据可以帮助我们跟踪物体的运动轨迹。在虚拟现实中，了解用户的头部姿态和运动可以实现更加沉浸式的体验。</w:t>
            </w:r>
          </w:p>
          <w:p>
            <w:pPr>
              <w:spacing w:line="400" w:lineRule="atLeast"/>
              <w:ind w:firstLine="420" w:firstLineChars="200"/>
              <w:jc w:val="both"/>
            </w:pPr>
            <w:r>
              <w:rPr>
                <w:rFonts w:hint="eastAsia"/>
              </w:rPr>
              <w:t>总体而言，通过对加速度和角速度数据进行深入分析，我们可以获取关于物体运动和旋转的详细信息，为各种应用场景提供有力的支持。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shd w:val="clear" w:color="auto" w:fill="auto"/>
            <w:vAlign w:val="center"/>
          </w:tcPr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教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师</w:t>
            </w:r>
          </w:p>
          <w:p>
            <w:pPr>
              <w:widowControl w:val="0"/>
              <w:spacing w:line="346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评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jc w:val="center"/>
            </w:pPr>
            <w:r>
              <w:rPr>
                <w:rFonts w:ascii="宋体" w:hAnsi="宋体"/>
                <w:sz w:val="40"/>
              </w:rPr>
              <w:t>定</w:t>
            </w:r>
          </w:p>
        </w:tc>
        <w:tc>
          <w:tcPr>
            <w:tcW w:w="7684" w:type="dxa"/>
            <w:shd w:val="clear" w:color="auto" w:fill="auto"/>
          </w:tcPr>
          <w:p>
            <w:pPr>
              <w:widowControl w:val="0"/>
              <w:jc w:val="both"/>
            </w:pPr>
          </w:p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QxMWE0ZTVkNDMyNjRkYTMwMjhlZjBiMzgxYzU3MzYifQ=="/>
  </w:docVars>
  <w:rsids>
    <w:rsidRoot w:val="6D5641F0"/>
    <w:rsid w:val="000241FD"/>
    <w:rsid w:val="000C4E5B"/>
    <w:rsid w:val="000F5B37"/>
    <w:rsid w:val="002035E4"/>
    <w:rsid w:val="0020579A"/>
    <w:rsid w:val="0028385E"/>
    <w:rsid w:val="002972DA"/>
    <w:rsid w:val="0033464B"/>
    <w:rsid w:val="003D7DFB"/>
    <w:rsid w:val="00411F5B"/>
    <w:rsid w:val="004A054B"/>
    <w:rsid w:val="00501752"/>
    <w:rsid w:val="005B51C6"/>
    <w:rsid w:val="006C667F"/>
    <w:rsid w:val="006F7CC0"/>
    <w:rsid w:val="00746A8B"/>
    <w:rsid w:val="00833739"/>
    <w:rsid w:val="008521B3"/>
    <w:rsid w:val="00860C28"/>
    <w:rsid w:val="008703CF"/>
    <w:rsid w:val="0088693B"/>
    <w:rsid w:val="00922962"/>
    <w:rsid w:val="00964BA4"/>
    <w:rsid w:val="00A24D6D"/>
    <w:rsid w:val="00A338E6"/>
    <w:rsid w:val="00A55B2C"/>
    <w:rsid w:val="00A87C8E"/>
    <w:rsid w:val="00B150F4"/>
    <w:rsid w:val="00B434EC"/>
    <w:rsid w:val="00BB30BE"/>
    <w:rsid w:val="00BB7022"/>
    <w:rsid w:val="00BC7EFD"/>
    <w:rsid w:val="00BE6C79"/>
    <w:rsid w:val="00C364BF"/>
    <w:rsid w:val="00D25FA7"/>
    <w:rsid w:val="00D6456E"/>
    <w:rsid w:val="00DD563D"/>
    <w:rsid w:val="00DD78FB"/>
    <w:rsid w:val="00F818EB"/>
    <w:rsid w:val="0B0711E8"/>
    <w:rsid w:val="64BA3948"/>
    <w:rsid w:val="6D56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0"/>
    <w:rPr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609</Words>
  <Characters>3473</Characters>
  <Lines>28</Lines>
  <Paragraphs>8</Paragraphs>
  <TotalTime>0</TotalTime>
  <ScaleCrop>false</ScaleCrop>
  <LinksUpToDate>false</LinksUpToDate>
  <CharactersWithSpaces>4074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2023-05-30T03:27:00Z</dcterms:created>
  <dc:creator>soldier</dc:creator>
  <cp:lastModifiedBy>木杨.</cp:lastModifiedBy>
  <dcterms:modified xsi:type="dcterms:W3CDTF">2024-01-16T13:39:10Z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7C73E1770A074CFAB9378AEAA844DD90_12</vt:lpwstr>
  </property>
</Properties>
</file>