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r>
        <w:rPr>
          <w:rFonts w:ascii="宋体" w:hAnsi="宋体"/>
          <w:sz w:val="33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542290</wp:posOffset>
            </wp:positionH>
            <wp:positionV relativeFrom="paragraph">
              <wp:posOffset>12065</wp:posOffset>
            </wp:positionV>
            <wp:extent cx="3441700" cy="853440"/>
            <wp:effectExtent l="0" t="0" r="0" b="0"/>
            <wp:wrapNone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jc w:val="center"/>
      </w:pPr>
    </w:p>
    <w:p/>
    <w:p/>
    <w:p/>
    <w:p/>
    <w:p>
      <w:pPr>
        <w:spacing w:line="239" w:lineRule="auto"/>
        <w:ind w:left="60"/>
        <w:rPr>
          <w:rFonts w:ascii="宋体" w:hAnsi="宋体"/>
          <w:sz w:val="33"/>
        </w:rPr>
      </w:pPr>
    </w:p>
    <w:p>
      <w:pPr>
        <w:spacing w:line="239" w:lineRule="auto"/>
        <w:ind w:left="60"/>
        <w:rPr>
          <w:rFonts w:ascii="宋体" w:hAnsi="宋体"/>
          <w:sz w:val="33"/>
        </w:rPr>
      </w:pPr>
    </w:p>
    <w:p>
      <w:pPr>
        <w:spacing w:line="239" w:lineRule="auto"/>
        <w:ind w:left="60"/>
        <w:rPr>
          <w:rFonts w:ascii="宋体" w:hAnsi="宋体"/>
          <w:sz w:val="33"/>
        </w:rPr>
      </w:pPr>
    </w:p>
    <w:p>
      <w:pPr>
        <w:spacing w:line="239" w:lineRule="auto"/>
        <w:ind w:left="60"/>
        <w:rPr>
          <w:rFonts w:ascii="宋体" w:hAnsi="宋体"/>
          <w:sz w:val="33"/>
        </w:rPr>
      </w:pPr>
    </w:p>
    <w:p>
      <w:pPr>
        <w:tabs>
          <w:tab w:val="left" w:pos="840"/>
        </w:tabs>
        <w:ind w:firstLine="1257" w:firstLineChars="381"/>
        <w:rPr>
          <w:rFonts w:ascii="宋体" w:hAnsi="宋体"/>
          <w:sz w:val="33"/>
        </w:rPr>
      </w:pPr>
      <w:r>
        <w:rPr>
          <w:rFonts w:ascii="宋体" w:hAnsi="宋体"/>
          <w:sz w:val="33"/>
        </w:rPr>
        <w:t>课 程</w:t>
      </w:r>
      <w:r>
        <w:rPr>
          <w:rFonts w:hint="eastAsia" w:ascii="宋体" w:hAnsi="宋体"/>
          <w:sz w:val="33"/>
        </w:rPr>
        <w:t xml:space="preserve"> ____传感与检测技术______</w:t>
      </w:r>
    </w:p>
    <w:p>
      <w:pPr>
        <w:tabs>
          <w:tab w:val="left" w:pos="840"/>
        </w:tabs>
        <w:ind w:firstLine="1295" w:firstLineChars="381"/>
        <w:rPr>
          <w:rFonts w:ascii="Times New Roman" w:hAnsi="Times New Roman" w:eastAsia="Times New Roman"/>
          <w:sz w:val="18"/>
          <w:szCs w:val="18"/>
          <w:u w:val="single"/>
        </w:rPr>
      </w:pPr>
      <w:r>
        <w:rPr>
          <w:rFonts w:ascii="宋体" w:hAnsi="宋体"/>
          <w:sz w:val="34"/>
        </w:rPr>
        <w:t>项 目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Cs w:val="21"/>
          <w:u w:val="single"/>
        </w:rPr>
        <w:t>基于CC2530实现磁力传感器HMC5883L的数据收集</w:t>
      </w:r>
    </w:p>
    <w:p>
      <w:pPr>
        <w:tabs>
          <w:tab w:val="left" w:pos="840"/>
        </w:tabs>
        <w:ind w:firstLine="1295" w:firstLineChars="381"/>
        <w:rPr>
          <w:rFonts w:ascii="Times New Roman" w:hAnsi="Times New Roman" w:eastAsia="Times New Roman"/>
        </w:rPr>
      </w:pPr>
      <w:r>
        <w:rPr>
          <w:rFonts w:ascii="宋体" w:hAnsi="宋体"/>
          <w:sz w:val="34"/>
        </w:rPr>
        <w:t>专 业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 w:val="33"/>
        </w:rPr>
        <w:t>______</w:t>
      </w:r>
      <w:r>
        <w:rPr>
          <w:rFonts w:hint="eastAsia" w:ascii="宋体" w:hAnsi="宋体"/>
          <w:sz w:val="33"/>
          <w:lang w:val="en-US" w:eastAsia="zh-CN"/>
        </w:rPr>
        <w:t>交通运输</w:t>
      </w:r>
      <w:r>
        <w:rPr>
          <w:rFonts w:hint="eastAsia" w:ascii="宋体" w:hAnsi="宋体"/>
          <w:sz w:val="33"/>
        </w:rPr>
        <w:t>工程__________</w:t>
      </w:r>
    </w:p>
    <w:p>
      <w:pPr>
        <w:tabs>
          <w:tab w:val="left" w:pos="840"/>
        </w:tabs>
        <w:ind w:firstLine="1295" w:firstLineChars="381"/>
        <w:rPr>
          <w:rFonts w:ascii="Times New Roman" w:hAnsi="Times New Roman" w:eastAsia="Times New Roman"/>
        </w:rPr>
      </w:pPr>
      <w:r>
        <w:rPr>
          <w:rFonts w:ascii="宋体" w:hAnsi="宋体"/>
          <w:sz w:val="34"/>
        </w:rPr>
        <w:t>班 级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 w:val="33"/>
        </w:rPr>
        <w:t>______</w:t>
      </w:r>
      <w:r>
        <w:rPr>
          <w:rFonts w:hint="eastAsia" w:ascii="宋体" w:hAnsi="宋体"/>
          <w:sz w:val="33"/>
          <w:lang w:val="en-US" w:eastAsia="zh-CN"/>
        </w:rPr>
        <w:t>交通运输</w:t>
      </w:r>
      <w:r>
        <w:rPr>
          <w:rFonts w:hint="eastAsia" w:ascii="宋体" w:hAnsi="宋体"/>
          <w:sz w:val="33"/>
        </w:rPr>
        <w:t>工程</w:t>
      </w:r>
      <w:r>
        <w:rPr>
          <w:rFonts w:hint="eastAsia" w:ascii="宋体" w:hAnsi="宋体"/>
          <w:sz w:val="33"/>
          <w:lang w:val="en-US" w:eastAsia="zh-CN"/>
        </w:rPr>
        <w:t>2301</w:t>
      </w:r>
      <w:r>
        <w:rPr>
          <w:rFonts w:hint="eastAsia" w:ascii="宋体" w:hAnsi="宋体"/>
          <w:sz w:val="33"/>
        </w:rPr>
        <w:t>_________</w:t>
      </w:r>
    </w:p>
    <w:p>
      <w:pPr>
        <w:tabs>
          <w:tab w:val="left" w:pos="840"/>
        </w:tabs>
        <w:ind w:firstLine="1295" w:firstLineChars="381"/>
        <w:rPr>
          <w:rFonts w:ascii="Times New Roman" w:hAnsi="Times New Roman" w:eastAsia="Times New Roman"/>
        </w:rPr>
      </w:pPr>
      <w:r>
        <w:rPr>
          <w:rFonts w:ascii="宋体" w:hAnsi="宋体"/>
          <w:sz w:val="34"/>
        </w:rPr>
        <w:t>学 号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 w:val="33"/>
        </w:rPr>
        <w:t>_____</w:t>
      </w:r>
      <w:r>
        <w:rPr>
          <w:rFonts w:ascii="宋体" w:hAnsi="宋体"/>
          <w:sz w:val="33"/>
        </w:rPr>
        <w:t>22</w:t>
      </w:r>
      <w:r>
        <w:rPr>
          <w:rFonts w:hint="eastAsia" w:ascii="宋体" w:hAnsi="宋体"/>
          <w:sz w:val="33"/>
          <w:lang w:val="en-US" w:eastAsia="zh-CN"/>
        </w:rPr>
        <w:t>3</w:t>
      </w:r>
      <w:r>
        <w:rPr>
          <w:rFonts w:ascii="宋体" w:hAnsi="宋体"/>
          <w:sz w:val="33"/>
        </w:rPr>
        <w:t>1</w:t>
      </w:r>
      <w:r>
        <w:rPr>
          <w:rFonts w:hint="eastAsia" w:ascii="宋体" w:hAnsi="宋体"/>
          <w:sz w:val="33"/>
          <w:lang w:val="en-US" w:eastAsia="zh-CN"/>
        </w:rPr>
        <w:t>8</w:t>
      </w:r>
      <w:r>
        <w:rPr>
          <w:rFonts w:ascii="宋体" w:hAnsi="宋体"/>
          <w:sz w:val="33"/>
        </w:rPr>
        <w:t>0</w:t>
      </w:r>
      <w:r>
        <w:rPr>
          <w:rFonts w:hint="eastAsia" w:ascii="宋体" w:hAnsi="宋体"/>
          <w:sz w:val="33"/>
          <w:lang w:val="en-US" w:eastAsia="zh-CN"/>
        </w:rPr>
        <w:t>1</w:t>
      </w:r>
      <w:r>
        <w:rPr>
          <w:rFonts w:ascii="宋体" w:hAnsi="宋体"/>
          <w:sz w:val="33"/>
        </w:rPr>
        <w:t>0</w:t>
      </w:r>
      <w:r>
        <w:rPr>
          <w:rFonts w:hint="eastAsia" w:ascii="宋体" w:hAnsi="宋体"/>
          <w:sz w:val="33"/>
          <w:lang w:val="en-US" w:eastAsia="zh-CN"/>
        </w:rPr>
        <w:t>15</w:t>
      </w:r>
      <w:r>
        <w:rPr>
          <w:rFonts w:hint="eastAsia" w:ascii="宋体" w:hAnsi="宋体"/>
          <w:sz w:val="33"/>
        </w:rPr>
        <w:t>_________</w:t>
      </w:r>
    </w:p>
    <w:p>
      <w:pPr>
        <w:tabs>
          <w:tab w:val="left" w:pos="840"/>
        </w:tabs>
        <w:ind w:firstLine="1295" w:firstLineChars="381"/>
        <w:rPr>
          <w:rFonts w:ascii="Times New Roman" w:hAnsi="Times New Roman" w:eastAsia="Times New Roman"/>
        </w:rPr>
      </w:pPr>
      <w:r>
        <w:rPr>
          <w:rFonts w:ascii="宋体" w:hAnsi="宋体"/>
          <w:sz w:val="34"/>
        </w:rPr>
        <w:t>姓 名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 w:val="33"/>
        </w:rPr>
        <w:t>________</w:t>
      </w:r>
      <w:r>
        <w:rPr>
          <w:rFonts w:hint="eastAsia" w:ascii="宋体" w:hAnsi="宋体"/>
          <w:sz w:val="33"/>
          <w:lang w:val="en-US" w:eastAsia="zh-CN"/>
        </w:rPr>
        <w:t>翁泽康</w:t>
      </w:r>
      <w:r>
        <w:rPr>
          <w:rFonts w:hint="eastAsia" w:ascii="宋体" w:hAnsi="宋体"/>
          <w:sz w:val="33"/>
        </w:rPr>
        <w:t>____________</w:t>
      </w:r>
    </w:p>
    <w:p>
      <w:pPr>
        <w:tabs>
          <w:tab w:val="left" w:pos="840"/>
        </w:tabs>
        <w:ind w:firstLine="1295" w:firstLineChars="381"/>
        <w:rPr>
          <w:rFonts w:ascii="宋体" w:hAnsi="宋体"/>
          <w:sz w:val="34"/>
        </w:rPr>
      </w:pPr>
      <w:r>
        <w:rPr>
          <w:rFonts w:ascii="宋体" w:hAnsi="宋体"/>
          <w:sz w:val="34"/>
        </w:rPr>
        <w:t>日 期</w:t>
      </w:r>
      <w:r>
        <w:rPr>
          <w:rFonts w:hint="eastAsia" w:ascii="宋体" w:hAnsi="宋体"/>
          <w:sz w:val="34"/>
        </w:rPr>
        <w:t xml:space="preserve"> </w:t>
      </w:r>
      <w:r>
        <w:rPr>
          <w:rFonts w:hint="eastAsia" w:ascii="宋体" w:hAnsi="宋体"/>
          <w:sz w:val="33"/>
        </w:rPr>
        <w:t>______</w:t>
      </w:r>
      <w:r>
        <w:rPr>
          <w:rFonts w:ascii="宋体" w:hAnsi="宋体"/>
          <w:sz w:val="33"/>
        </w:rPr>
        <w:t>202</w:t>
      </w:r>
      <w:r>
        <w:rPr>
          <w:rFonts w:hint="eastAsia" w:ascii="宋体" w:hAnsi="宋体"/>
          <w:sz w:val="33"/>
          <w:lang w:val="en-US" w:eastAsia="zh-CN"/>
        </w:rPr>
        <w:t>4</w:t>
      </w:r>
      <w:r>
        <w:rPr>
          <w:rFonts w:hint="eastAsia" w:ascii="宋体" w:hAnsi="宋体"/>
          <w:sz w:val="33"/>
        </w:rPr>
        <w:t>.</w:t>
      </w:r>
      <w:r>
        <w:rPr>
          <w:rFonts w:hint="eastAsia" w:ascii="宋体" w:hAnsi="宋体"/>
          <w:sz w:val="33"/>
          <w:lang w:val="en-US" w:eastAsia="zh-CN"/>
        </w:rPr>
        <w:t>1</w:t>
      </w:r>
      <w:r>
        <w:rPr>
          <w:rFonts w:ascii="宋体" w:hAnsi="宋体"/>
          <w:sz w:val="33"/>
        </w:rPr>
        <w:t>.</w:t>
      </w:r>
      <w:r>
        <w:rPr>
          <w:rFonts w:hint="eastAsia" w:ascii="宋体" w:hAnsi="宋体"/>
          <w:sz w:val="33"/>
          <w:lang w:val="en-US" w:eastAsia="zh-CN"/>
        </w:rPr>
        <w:t>16</w:t>
      </w:r>
      <w:r>
        <w:rPr>
          <w:rFonts w:hint="eastAsia" w:ascii="宋体" w:hAnsi="宋体"/>
          <w:sz w:val="33"/>
        </w:rPr>
        <w:t>_________</w:t>
      </w:r>
    </w:p>
    <w:p>
      <w:pPr>
        <w:spacing w:line="0" w:lineRule="atLeast"/>
        <w:ind w:left="20"/>
        <w:rPr>
          <w:rFonts w:ascii="宋体" w:hAnsi="宋体"/>
          <w:sz w:val="34"/>
        </w:rPr>
      </w:pPr>
    </w:p>
    <w:p/>
    <w:p/>
    <w:p/>
    <w:p/>
    <w:p/>
    <w:tbl>
      <w:tblPr>
        <w:tblStyle w:val="6"/>
        <w:tblpPr w:leftFromText="180" w:rightFromText="180" w:vertAnchor="text" w:horzAnchor="page" w:tblpX="1804" w:tblpY="1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7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shd w:val="clear" w:color="auto" w:fill="auto"/>
          </w:tcPr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  <w:r>
              <w:rPr>
                <w:rFonts w:ascii="宋体" w:hAnsi="宋体"/>
                <w:sz w:val="36"/>
              </w:rPr>
              <w:t>实</w:t>
            </w: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  <w:r>
              <w:rPr>
                <w:rFonts w:ascii="宋体" w:hAnsi="宋体"/>
                <w:sz w:val="36"/>
              </w:rPr>
              <w:t>验</w:t>
            </w: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  <w:r>
              <w:rPr>
                <w:rFonts w:hint="eastAsia" w:ascii="宋体" w:hAnsi="宋体"/>
                <w:sz w:val="36"/>
              </w:rPr>
              <w:t>任</w:t>
            </w: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</w:p>
          <w:p>
            <w:pPr>
              <w:widowControl w:val="0"/>
              <w:spacing w:line="0" w:lineRule="atLeast"/>
              <w:jc w:val="both"/>
              <w:rPr>
                <w:rFonts w:ascii="宋体" w:hAnsi="宋体"/>
                <w:sz w:val="36"/>
              </w:rPr>
            </w:pPr>
            <w:r>
              <w:rPr>
                <w:rFonts w:hint="eastAsia" w:ascii="宋体" w:hAnsi="宋体"/>
                <w:sz w:val="36"/>
              </w:rPr>
              <w:t>务</w:t>
            </w:r>
          </w:p>
        </w:tc>
        <w:tc>
          <w:tcPr>
            <w:tcW w:w="768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基于CC2530实验磁力传感器HMC5883L的数据收集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6" w:hRule="atLeast"/>
        </w:trPr>
        <w:tc>
          <w:tcPr>
            <w:tcW w:w="838" w:type="dxa"/>
            <w:shd w:val="clear" w:color="auto" w:fill="auto"/>
            <w:vAlign w:val="center"/>
          </w:tcPr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实</w:t>
            </w:r>
          </w:p>
          <w:p>
            <w:pPr>
              <w:widowControl w:val="0"/>
              <w:spacing w:line="346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验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报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告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内</w:t>
            </w:r>
          </w:p>
          <w:p>
            <w:pPr>
              <w:widowControl w:val="0"/>
              <w:spacing w:line="342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jc w:val="center"/>
            </w:pPr>
            <w:r>
              <w:rPr>
                <w:rFonts w:ascii="宋体" w:hAnsi="宋体"/>
                <w:sz w:val="40"/>
              </w:rPr>
              <w:t>容</w:t>
            </w:r>
          </w:p>
        </w:tc>
        <w:tc>
          <w:tcPr>
            <w:tcW w:w="768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pacing w:line="400" w:lineRule="exact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1.关键技术和传感器介绍</w:t>
            </w:r>
            <w:r>
              <w:rPr>
                <w:rFonts w:hint="eastAsia" w:ascii="Cambria" w:hAnsi="Cambria"/>
                <w:szCs w:val="21"/>
              </w:rPr>
              <w:t>：</w:t>
            </w: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1.1 CC2530：</w:t>
            </w:r>
            <w:r>
              <w:rPr>
                <w:rFonts w:hint="eastAsia" w:ascii="Cambria" w:hAnsi="Cambria"/>
                <w:szCs w:val="21"/>
              </w:rPr>
              <w:t>CC2530是由德州仪器（Texas Instruments）研发的一款低功耗无线系统芯片。该芯片遵循IEEE 802.15.4标准，并内置了强大的2.4GHz无线收发功能。其设计针对低功耗无线通信和物联网（IoT）应用，为这些领域提供了可靠的无线连接解决方案。CC2530的特性使其成为在资源受限的环境中进行有效通信的理想选择，满足了对低功耗和高性能的需求。</w:t>
            </w: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1.2HMC5883L：</w:t>
            </w:r>
            <w:r>
              <w:rPr>
                <w:rFonts w:hint="eastAsia" w:ascii="Cambria" w:hAnsi="Cambria"/>
                <w:szCs w:val="21"/>
              </w:rPr>
              <w:t>HMC5883L是一款高分辨率的数字磁力计，也被称为数字指南针传感器。它具备出色的测量性能，能够精确地测量磁场在X、Y和Z轴方向上的磁场强度。该传感器适用于低功耗应用，工作电压范围为2.16V至3.6V，因此非常适合需要长时间运行的应用场景。</w:t>
            </w: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HMC5883L的测量范围为±1.3至±8.1高斯，具有高度可调的测量精度，约为1到2度。这使得它能够提供准确的数字指南针航向信息，通过对地球磁场的测量，为导航和定位提供可靠的数据支持。</w:t>
            </w: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通过I2C接口，HMC5883L可以与微控制器或其他主控设备进行高效的数字通信。这种便捷的接口使其在各种应用场景中得到广泛应用，包括导航系统、航空航天、智能交通和无人机等领域。</w:t>
            </w:r>
            <w:r>
              <w:rPr>
                <w:rFonts w:ascii="Cambria" w:hAnsi="Cambria"/>
                <w:szCs w:val="21"/>
              </w:rPr>
              <w:t>1.3 I2C：它是一种串行通信协议，也被称为IIC（Inter-IC）或TWI（Two-Wire Interface）。是一种简单、高效的通信接口，广泛应用于连接多个芯片或模块之间的通信。</w:t>
            </w: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1</w:t>
            </w:r>
            <w:r>
              <w:rPr>
                <w:rFonts w:ascii="Cambria" w:hAnsi="Cambria"/>
                <w:szCs w:val="21"/>
              </w:rPr>
              <w:t>.4</w:t>
            </w:r>
            <w:r>
              <w:rPr>
                <w:rFonts w:hint="eastAsia" w:ascii="Cambria" w:hAnsi="Cambria"/>
                <w:szCs w:val="21"/>
              </w:rPr>
              <w:t>HMC5883L的寄存器：</w:t>
            </w: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jc w:val="center"/>
              <w:rPr>
                <w:rFonts w:ascii="Cambria" w:hAnsi="Cambria"/>
                <w:szCs w:val="21"/>
              </w:rPr>
            </w:pPr>
            <w: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671830</wp:posOffset>
                  </wp:positionH>
                  <wp:positionV relativeFrom="paragraph">
                    <wp:posOffset>-1568450</wp:posOffset>
                  </wp:positionV>
                  <wp:extent cx="3397885" cy="1770380"/>
                  <wp:effectExtent l="0" t="0" r="0" b="1270"/>
                  <wp:wrapTopAndBottom/>
                  <wp:docPr id="2317240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72401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996" cy="177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地址00~02用于配置测试过程中的采样平均次数、数据输出率、测量配置（对应正常或自检测试）、增益配置以及测量模式（正常或自检测试）。这些配置寄存器提供了灵活的设置选项，使用户能够根据实际需求进行调整。</w:t>
            </w:r>
          </w:p>
          <w:p>
            <w:pPr>
              <w:widowControl w:val="0"/>
              <w:spacing w:line="400" w:lineRule="exact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地址03~08存放测试结果数据，每轴16位，用两个字节存放，地址对应的顺序是X轴–Z轴–Y轴。通过读取这些地址的内容，用户可以获取磁力计测量的具体数值，包括X轴、Y轴和Z轴方向上的磁场强度。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地址09是状态的读寄存器，可以通过读取状态获得结果数据是否可读取，替代的方式包括使用HMC5883L输出的上升沿硬件中断线。这个状态寄存器提供了一个标志位，指示着新的测量数据是否已经准备好，方便主控设备在适当的时机读取最新的数据。</w:t>
            </w:r>
          </w:p>
          <w:p>
            <w:pPr>
              <w:widowControl w:val="0"/>
              <w:spacing w:line="400" w:lineRule="exact"/>
              <w:jc w:val="both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地址10~12存放一些识别码，一般用于读出比较，验证I2C总线访问是否成功。这些识别码可以作为验证通信是否正常的依据，确保设备与主控之间的数据交互是有效的。</w:t>
            </w:r>
            <w:r>
              <w:rPr>
                <w:rFonts w:ascii="Cambria" w:hAnsi="Cambria"/>
                <w:szCs w:val="21"/>
              </w:rPr>
              <w:t>2.实验目的</w:t>
            </w:r>
            <w:r>
              <w:rPr>
                <w:rFonts w:hint="eastAsia" w:ascii="Cambria" w:hAnsi="Cambria"/>
                <w:szCs w:val="21"/>
              </w:rPr>
              <w:t>：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本设计采用I2C通信方式让CC2530与HMC5883L进行通信，然后通过程序进行读取寄存器的值并进行运算得到磁场强度在X、Y和Z轴方向上的数值，最后再通过串口与电脑通讯，通过上位机（电脑）实时监测CC2530读取的X、Y和Z轴方向上的磁场强度大小。</w:t>
            </w:r>
          </w:p>
          <w:p>
            <w:pPr>
              <w:widowControl w:val="0"/>
              <w:spacing w:line="400" w:lineRule="exact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3.实验步骤：</w:t>
            </w: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3.1操作步骤：</w:t>
            </w: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1.</w:t>
            </w:r>
            <w:r>
              <w:rPr>
                <w:rFonts w:hint="eastAsia" w:ascii="Cambria" w:hAnsi="Cambria"/>
                <w:szCs w:val="21"/>
              </w:rPr>
              <w:t>通过芯片手册详细了解HMC5883L传感器的寄存器读取方式和通信方式，确保在程序设计中能够正确地与该传感器进行交互。</w:t>
            </w: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利用IAR集成开发环境进行程序编写，编写相应的代码并生成hex文件，以便后续的烧录操作。</w:t>
            </w: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通过烧入线将电脑与CC2530相连，并使用烧录软件（例如SmartRF Flash Programmer）将事先准备好的hex文件烧写进CC2530芯片中，确保程序正确加载到芯片上。</w:t>
            </w: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连接HMC5883L传感器与CC2530，通过I2C通信协议进行数据交互。通过USB转TTL线将CC2530与电脑连接，以建立通信通道。</w:t>
            </w:r>
          </w:p>
          <w:p>
            <w:pPr>
              <w:widowControl w:val="0"/>
              <w:spacing w:line="400" w:lineRule="exact"/>
              <w:ind w:firstLine="210" w:firstLineChars="100"/>
              <w:jc w:val="both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使用上位机工具，如串口调试助手（XCOM），观察CC2530读取的与磁场相关的数据。通过实时监测传感器输出的数据，验证通信是否正常，确保CC2530能够正确地获取HMC5883L传感器的磁场信息。</w:t>
            </w:r>
          </w:p>
          <w:p>
            <w:pPr>
              <w:widowControl w:val="0"/>
              <w:spacing w:line="400" w:lineRule="exact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3.2读取HMC5883L数值的步骤</w:t>
            </w:r>
            <w:r>
              <w:rPr>
                <w:rFonts w:hint="eastAsia" w:ascii="Cambria" w:hAnsi="Cambria"/>
                <w:szCs w:val="21"/>
              </w:rPr>
              <w:t>：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3.2.1流程图</w:t>
            </w:r>
            <w:r>
              <w:rPr>
                <w:rFonts w:hint="eastAsia" w:ascii="Cambria" w:hAnsi="Cambria"/>
                <w:szCs w:val="21"/>
              </w:rPr>
              <w:t>：</w:t>
            </w:r>
          </w:p>
          <w:p>
            <w:pPr>
              <w:widowControl w:val="0"/>
              <w:jc w:val="center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drawing>
                <wp:inline distT="0" distB="0" distL="0" distR="0">
                  <wp:extent cx="3225165" cy="3579495"/>
                  <wp:effectExtent l="0" t="0" r="0" b="1905"/>
                  <wp:docPr id="11158894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889413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356" cy="3582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 xml:space="preserve">   </w:t>
            </w:r>
            <w:r>
              <w:rPr>
                <w:rFonts w:hint="eastAsia" w:ascii="Cambria" w:hAnsi="Cambria"/>
                <w:szCs w:val="21"/>
              </w:rPr>
              <w:t>首先，CC2530启动I2C通信，并配置HMC5883L磁力计的模式寄存器为连续测量模式，以实时测量数值。</w:t>
            </w:r>
          </w:p>
          <w:p>
            <w:pPr>
              <w:widowControl w:val="0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接着，在读取x轴寄存器的位置之前，将其设置为读取模式，然后依次读取x轴、y轴、z轴的原始磁场强度数值。</w:t>
            </w:r>
          </w:p>
          <w:p>
            <w:pPr>
              <w:widowControl w:val="0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通过公式将原始磁场强度数值进行换算，得到以高斯为单位的磁场强度数据。</w:t>
            </w:r>
          </w:p>
          <w:p>
            <w:pPr>
              <w:widowControl w:val="0"/>
              <w:jc w:val="both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最后，通过上位机工具显示读取到的这些磁场强度数据，实时监测并展示磁场的强度变化。这可以通过串口调试助手(XCOM)或其他上位机工具进行观察，确保CC2530能够正确地读取和显示HMC5883L传感器的磁场信息。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3.2.2关键程序</w:t>
            </w:r>
            <w:r>
              <w:rPr>
                <w:rFonts w:hint="eastAsia" w:ascii="Cambria" w:hAnsi="Cambria"/>
                <w:szCs w:val="21"/>
              </w:rPr>
              <w:t>：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#include &lt;stdio.h&gt;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#define SCL P1_3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#define SDA P1_2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#define I2C_ADDR 0x1E // HMC5883L I2C地址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// 模拟I2C通信函数，这里只是为了演示，实际应用中需替换为真实的I2C通信函数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void I2C_Start() {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// 模拟I2C起始信号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}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void I2C_Stop() {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// 模拟I2C停止信号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}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void I2C_WriteByte(unsigned char byte) {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// 模拟I2C写入字节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}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unsigned char I2C_ReadByte() {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// 模拟I2C读取字节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return 0;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}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// 初始化HMC5883L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void HMC5883L_Init() {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I2C_Start();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I2C_WriteByte(I2C_ADDR);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I2C_WriteByte(0x00); // 配置模式寄存器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I2C_WriteByte(0x10); // 设置为连续测量模式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I2C_Stop();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}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// 读取HMC5883L数据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typedef struct {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int raw_x;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int raw_y;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int raw_z;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float x;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float y;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float z;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} HMC5883L_Data;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HMC5883L_Data HMC5883L_ReadData() {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HMC5883L_Data data;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I2C_Start();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I2C_WriteByte(I2C_ADDR);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I2C_WriteByte(0x03);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I2C_Start();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I2C_WriteByte(I2C_ADDR | 0x01);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data.raw_x = (I2C_ReadByte() &lt;&lt; 8) | I2C_ReadByte();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data.raw_z = (I2C_ReadByte() &lt;&lt; 8) | I2C_ReadByte();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data.raw_y = (I2C_ReadByte() &lt;&lt; 8) | I2C_ReadByte();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I2C_Stop();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// 进行单位换算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float sensitivity = 0.92; // 灵敏度（单位：LSB/Gauss）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float offset = 100.0;    // 偏移量（单位：高斯）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data.x = (data.raw_x * sensitivity) + offset;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data.y = (data.raw_y * sensitivity) + offset;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data.z = (data.raw_z * sensitivity) + offset;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return data;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}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int main(void) {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// 模拟串口初始化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printf("Init UART with baudrate: 57600\n");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// 初始化HMC5883L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HMC5883L_Init();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// 读取并输出磁场强度数据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while (1) {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    HMC5883L_Data data = HMC5883L_ReadData();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    printf("Bx: %f, By: %f, Bz: %f\n", data.x, data.y, data.z);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}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   return 0;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}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4结论：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 xml:space="preserve"> 通过在串口调试助手(XCOM)上对数据结果的观察，本实验能准确的通过CC2530芯片读取了HMC5883L传感器的x轴，y轴，z轴磁场强度的数据。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</w:p>
          <w:p>
            <w:pPr>
              <w:widowControl w:val="0"/>
              <w:jc w:val="center"/>
              <w:rPr>
                <w:rFonts w:ascii="Cambria" w:hAnsi="Cambria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240530" cy="3329305"/>
                  <wp:effectExtent l="0" t="0" r="7620" b="444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530" cy="332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widowControl w:val="0"/>
              <w:rPr>
                <w:rFonts w:ascii="Cambria" w:hAnsi="Cambr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7" w:hRule="atLeast"/>
        </w:trPr>
        <w:tc>
          <w:tcPr>
            <w:tcW w:w="838" w:type="dxa"/>
            <w:shd w:val="clear" w:color="auto" w:fill="auto"/>
            <w:vAlign w:val="center"/>
          </w:tcPr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实</w:t>
            </w:r>
          </w:p>
          <w:p>
            <w:pPr>
              <w:widowControl w:val="0"/>
              <w:spacing w:line="346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验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报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告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内</w:t>
            </w:r>
          </w:p>
          <w:p>
            <w:pPr>
              <w:widowControl w:val="0"/>
              <w:spacing w:line="342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容</w:t>
            </w:r>
          </w:p>
        </w:tc>
        <w:tc>
          <w:tcPr>
            <w:tcW w:w="768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通过检测磁场强度数据，我们能够追踪物体周围磁场的变化，从而确定磁场的方向和强度。这在导航系统、地磁定位以及姿态控制等应用领域具有重要意义。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在导航系统中，结合磁场数据可以帮助确定方向，特别是在无GPS信号的环境下。通过实时监测磁场的变化，系统可以提供准确的导航指引，使用户能够更好地定位和导航。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地磁定位是利用地球磁场的特性来确定物体位置的一种技术。通过分析磁场强度和方向，可以推断物体所处的地理位置。这在室内定位、城市导航等场景中具有广泛的应用前景。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hint="eastAsia"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在姿态控制方面，磁场传感器的数据可以结合其他传感器（如陀螺仪和加速度计）的数据，实现对物体姿态的准确监测。这对于无人机、机器人等需要精准控制的设备而言尤为重要。</w:t>
            </w:r>
          </w:p>
          <w:p>
            <w:pPr>
              <w:widowControl w:val="0"/>
              <w:spacing w:line="400" w:lineRule="exact"/>
              <w:ind w:firstLine="420" w:firstLineChars="200"/>
              <w:jc w:val="both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因此，通过对磁场强度数据的综合分析，我们能够在多个应用领域中实现更精准、可靠的系统操作和控制。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shd w:val="clear" w:color="auto" w:fill="auto"/>
            <w:vAlign w:val="center"/>
          </w:tcPr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教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师</w:t>
            </w:r>
          </w:p>
          <w:p>
            <w:pPr>
              <w:widowControl w:val="0"/>
              <w:spacing w:line="346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spacing w:line="0" w:lineRule="atLeast"/>
              <w:jc w:val="center"/>
              <w:rPr>
                <w:rFonts w:ascii="宋体" w:hAnsi="宋体"/>
                <w:sz w:val="40"/>
              </w:rPr>
            </w:pPr>
            <w:r>
              <w:rPr>
                <w:rFonts w:ascii="宋体" w:hAnsi="宋体"/>
                <w:sz w:val="40"/>
              </w:rPr>
              <w:t>评</w:t>
            </w:r>
          </w:p>
          <w:p>
            <w:pPr>
              <w:widowControl w:val="0"/>
              <w:spacing w:line="344" w:lineRule="exact"/>
              <w:jc w:val="center"/>
              <w:rPr>
                <w:rFonts w:ascii="Times New Roman" w:hAnsi="Times New Roman" w:eastAsia="Times New Roman"/>
              </w:rPr>
            </w:pPr>
          </w:p>
          <w:p>
            <w:pPr>
              <w:widowControl w:val="0"/>
              <w:jc w:val="center"/>
            </w:pPr>
            <w:r>
              <w:rPr>
                <w:rFonts w:ascii="宋体" w:hAnsi="宋体"/>
                <w:sz w:val="40"/>
              </w:rPr>
              <w:t>定</w:t>
            </w:r>
          </w:p>
        </w:tc>
        <w:tc>
          <w:tcPr>
            <w:tcW w:w="7684" w:type="dxa"/>
            <w:shd w:val="clear" w:color="auto" w:fill="auto"/>
          </w:tcPr>
          <w:p>
            <w:pPr>
              <w:widowControl w:val="0"/>
              <w:jc w:val="both"/>
            </w:pPr>
          </w:p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QxMWE0ZTVkNDMyNjRkYTMwMjhlZjBiMzgxYzU3MzYifQ=="/>
  </w:docVars>
  <w:rsids>
    <w:rsidRoot w:val="6D5641F0"/>
    <w:rsid w:val="000216A6"/>
    <w:rsid w:val="00037688"/>
    <w:rsid w:val="00076F8E"/>
    <w:rsid w:val="00155BF3"/>
    <w:rsid w:val="00173808"/>
    <w:rsid w:val="001E79C7"/>
    <w:rsid w:val="0020579A"/>
    <w:rsid w:val="00255049"/>
    <w:rsid w:val="002B4B41"/>
    <w:rsid w:val="002F2E27"/>
    <w:rsid w:val="0033464B"/>
    <w:rsid w:val="003D4457"/>
    <w:rsid w:val="003F3747"/>
    <w:rsid w:val="00534D64"/>
    <w:rsid w:val="005A06DB"/>
    <w:rsid w:val="006B191F"/>
    <w:rsid w:val="006C1379"/>
    <w:rsid w:val="006C2A7A"/>
    <w:rsid w:val="006D0CF0"/>
    <w:rsid w:val="0076365E"/>
    <w:rsid w:val="007673E5"/>
    <w:rsid w:val="007806DD"/>
    <w:rsid w:val="007A60B9"/>
    <w:rsid w:val="007B06BB"/>
    <w:rsid w:val="008521B3"/>
    <w:rsid w:val="008D6562"/>
    <w:rsid w:val="008F0692"/>
    <w:rsid w:val="008F0939"/>
    <w:rsid w:val="009632DC"/>
    <w:rsid w:val="0097143C"/>
    <w:rsid w:val="00995E35"/>
    <w:rsid w:val="009E169F"/>
    <w:rsid w:val="00A22528"/>
    <w:rsid w:val="00A34CE7"/>
    <w:rsid w:val="00B150F4"/>
    <w:rsid w:val="00B660A5"/>
    <w:rsid w:val="00B92488"/>
    <w:rsid w:val="00BF69AC"/>
    <w:rsid w:val="00C436A1"/>
    <w:rsid w:val="00CB1176"/>
    <w:rsid w:val="00CE1FA9"/>
    <w:rsid w:val="00CE7CDE"/>
    <w:rsid w:val="00D2151C"/>
    <w:rsid w:val="00D25C15"/>
    <w:rsid w:val="00DB55FA"/>
    <w:rsid w:val="00E81D58"/>
    <w:rsid w:val="00EA768B"/>
    <w:rsid w:val="00EB08F8"/>
    <w:rsid w:val="00EB2FE0"/>
    <w:rsid w:val="00EE73AE"/>
    <w:rsid w:val="00EF0EB1"/>
    <w:rsid w:val="00F53860"/>
    <w:rsid w:val="00FF2FC0"/>
    <w:rsid w:val="02F96CF9"/>
    <w:rsid w:val="35700D27"/>
    <w:rsid w:val="42646724"/>
    <w:rsid w:val="4CFA088B"/>
    <w:rsid w:val="6D56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rPr>
      <w:rFonts w:ascii="Times New Roman" w:hAnsi="Times New Roman"/>
      <w:sz w:val="24"/>
      <w:szCs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sz w:val="18"/>
      <w:szCs w:val="18"/>
    </w:rPr>
  </w:style>
  <w:style w:type="character" w:customStyle="1" w:styleId="11">
    <w:name w:val="标题 2 字符"/>
    <w:basedOn w:val="8"/>
    <w:link w:val="2"/>
    <w:semiHidden/>
    <w:uiPriority w:val="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464</Words>
  <Characters>2646</Characters>
  <Lines>22</Lines>
  <Paragraphs>6</Paragraphs>
  <TotalTime>0</TotalTime>
  <ScaleCrop>false</ScaleCrop>
  <LinksUpToDate>false</LinksUpToDate>
  <CharactersWithSpaces>3104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2023-05-30T03:27:00Z</dcterms:created>
  <dc:creator>soldier</dc:creator>
  <cp:lastModifiedBy>木杨.</cp:lastModifiedBy>
  <dcterms:modified xsi:type="dcterms:W3CDTF">2024-01-16T13:38:44Z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42FF68AC579B4CABBA9DABE4FE131B30_12</vt:lpwstr>
  </property>
</Properties>
</file>