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第二种目标调整直接约束脑区表征</w:t>
      </w:r>
    </w:p>
    <w:p>
      <w:pPr>
        <w:spacing w:after="120"/>
      </w:pPr>
      <w:r>
        <w:rPr>
          <w:sz w:val="20"/>
        </w:rPr>
        <w:t>新双视图MSE参照 与 加表示一致性  本轮已完整结束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90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表示一致性上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9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希望同一个人在两种遮挡输入下仍形成较稳定的脑区表征，同时避免只依靠固定ROI身份或所有人输出相同特征满足目标。这里只检验遮挡稳定性，不是跨扫描可靠性。</w:t>
      </w:r>
    </w:p>
    <w:p>
      <w:r>
        <w:rPr>
          <w:b/>
        </w:rPr>
        <w:t xml:space="preserve">怎么做与参数  </w:t>
      </w:r>
      <w:r>
        <w:t>对照与实验都用两种独立对称方块遮挡，平均两视图MSE。新增项在每个ROI、每个通道沿受试者批次轴中心化，包含一致性、标准差下限0.1与0.04倍协方差约束；无投影头、不先平均ROI。lambda按训练内梯度比例固定，折内约0.0543～0.0606，全610为0.06122。属于VICReg启发的适配，不是原方法复现。</w:t>
      </w:r>
    </w:p>
    <w:p>
      <w:r>
        <w:rPr>
          <w:b/>
        </w:rPr>
        <w:t xml:space="preserve">上游结果  </w:t>
      </w:r>
      <w:r>
        <w:t>Mamba验证MSE 0.013495→0.013395，相关0.7300→0.7308，幅度比0.8268→0.8048；Transformer MSE 0.009912→0.010003，相关0.8088→0.8070，幅度比0.8662→0.8486。Mamba误差略降，但幅度收缩更强；不能把这几个指标混成一个“更好”。</w:t>
      </w:r>
    </w:p>
    <w:p>
      <w:r>
        <w:rPr>
          <w:b/>
        </w:rPr>
        <w:t xml:space="preserve">汇报时怎么说  </w:t>
      </w:r>
      <w:r>
        <w:t>这一轮把约束放到编码器本身，而且对照也使用同样两次前向，匹配计算预算。Mamba重建误差有小幅改善，但个体变化幅度更小，所以我们必须继续看分类，不能在上游就宣布方法有效。</w:t>
      </w:r>
    </w:p>
    <w:p>
      <w:r>
        <w:br w:type="page"/>
      </w:r>
    </w:p>
    <w:p>
      <w:pPr>
        <w:pStyle w:val="Title"/>
      </w:pPr>
      <w:r>
        <w:t>最新分类结果没有出现一致收益</w:t>
      </w:r>
    </w:p>
    <w:p>
      <w:pPr>
        <w:spacing w:after="120"/>
      </w:pPr>
      <w:r>
        <w:rPr>
          <w:sz w:val="20"/>
        </w:rPr>
        <w:t>40上游 8重拟合 8组特征 8项分类 80外层折核验通过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99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表示一致性分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比较口径  </w:t>
      </w:r>
      <w:r>
        <w:t>仍为冻结骨干、展开33408维、原290人10×3分类和同一逻辑回归实现。新双视图参照与新增约束配对比较，不能把上一批单视图参照当成本批严格对照。</w:t>
      </w:r>
    </w:p>
    <w:p>
      <w:r>
        <w:rPr>
          <w:b/>
        </w:rPr>
        <w:t xml:space="preserve">实际结果  </w:t>
      </w:r>
      <w:r>
        <w:t>小Mamba平均AUROC 0.6864→0.6631，两个种子都下降；准确率62.76%→60.17%，BCE 0.9052→0.8596。小Transformer AUROC 0.6816→0.6759，一个种子上升、一个下降；准确率62.24%→62.41%，BCE 0.7471→0.7542。原始FC参照AUROC为0.6936。</w:t>
      </w:r>
    </w:p>
    <w:p>
      <w:r>
        <w:rPr>
          <w:b/>
        </w:rPr>
        <w:t xml:space="preserve">结论与限制  </w:t>
      </w:r>
      <w:r>
        <w:t>当前固定配方没有稳定改善分类。Mamba的MSE略降而AUROC下降，再次说明重建误差不能替代疾病分类评价；BCE改善也不等于排序能力改善。只有两个种子，小批次方差与协方差估计有噪声，不能将小差异直接称为显著，也不能宣布所有一致性方法失败。</w:t>
      </w:r>
    </w:p>
    <w:p>
      <w:r>
        <w:rPr>
          <w:b/>
        </w:rPr>
        <w:t xml:space="preserve">汇报时怎么说  </w:t>
      </w:r>
      <w:r>
        <w:t>这轮结果出来后，我们暂时不把新目标作为更优方案。更明确的是评价目标不一致：重建、排序和概率质量可能向不同方向变化。下一步需要先审查哪些个体变化被保留、哪些是站点或噪声，再决定是否继续修改目标。</w:t>
      </w:r>
    </w:p>
    <w:sectPr w:rsidR="00FC693F" w:rsidRPr="0006063C" w:rsidSect="00034616"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69" w:lineRule="auto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69" w:lineRule="auto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69" w:lineRule="auto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69" w:lineRule="auto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69" w:lineRule="auto"/>
      <w:ind w:left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69" w:lineRule="auto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69" w:lineRule="auto"/>
      <w:ind w:left="108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69" w:lineRule="auto"/>
    </w:pPr>
    <w:rPr>
      <w:rFonts w:ascii="Arial Unicode MS" w:hAnsi="Arial Unicode MS" w:eastAsia="Arial Unicode MS" w:cs="Arial Unicode MS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69" w:lineRule="auto"/>
    </w:pPr>
    <w:rPr>
      <w:rFonts w:ascii="Arial Unicode MS" w:hAnsi="Arial Unicode MS" w:eastAsia="Arial Unicode MS" w:cs="Arial Unicode MS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40"/>
    </w:pPr>
    <w:rPr>
      <w:rFonts w:ascii="Arial Unicode MS" w:hAnsi="Arial Unicode MS" w:eastAsia="Arial Unicode MS" w:cs="Arial Unicode M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69" w:lineRule="auto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69" w:lineRule="auto"/>
      <w:outlineLvl w:val="9"/>
    </w:pPr>
    <w:rPr>
      <w:rFonts w:ascii="Arial Unicode MS" w:hAnsi="Arial Unicode MS" w:eastAsia="Arial Unicode MS" w:cs="Arial Unicode MS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脑连接重建与疾病分类研究进展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