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数据如何从发布记录筛到966人</w:t>
      </w:r>
    </w:p>
    <w:p>
      <w:r>
        <w:t>从ABIDE I的C-PAC发布数据筛到966人，固定AAL116功能连接。原小块Mamba在610人开发集筛选学习率；选出的1e-4和100轮属于当时结构与训练预算。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83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图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8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C-PAC、AAL116、filt_noglobal；FC为116×116。最终966人：457 ASD、509对照。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各步显示依次筛选后的剩余人数。两条完全相同时序因身份未确定而均暂缓；不是按预测分数删人。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610人用于上游开发、66人用于原阶段留出、290人用于下游。后续原966人十折采用另一套协议，不直接比较绝对成绩。</w:t>
      </w:r>
    </w:p>
    <w:p>
      <w:r>
        <w:rPr>
          <w:sz w:val="16"/>
        </w:rPr>
        <w:t>来源见本包 来源清单.json；完整数值、配对结果与代码另附。</w:t>
      </w:r>
    </w:p>
    <w:p>
      <w:r>
        <w:br w:type="page"/>
      </w:r>
    </w:p>
    <w:p>
      <w:pPr>
        <w:pStyle w:val="Title"/>
      </w:pPr>
      <w:r>
        <w:t>八档固定学习率如何选出1e-4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766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图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6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旧小块Mamba E1/D1：通道36/72/144/288，块数2/2/6/2；4×4 patch、stride2；AdamW，batch8，wd0.01，裁剪1，50%方块遮挡。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八档学习率均完成五折；前两档再补两个种子，共60次训练。图为真实记录点的折均值，用于学习率筛选，单次曲线另外保存。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1e-4在100轮的三种子均值MSE约0.016123；2e-4在预选70轮约0.016171。只能说当前预算下选1e-4，不代表其他模型都应用同一学习率。</w:t>
      </w:r>
    </w:p>
    <w:p>
      <w:r>
        <w:rPr>
          <w:sz w:val="16"/>
        </w:rPr>
        <w:t>来源见本包 来源清单.json；完整数值、配对结果与代码另附。</w:t>
      </w:r>
    </w:p>
    <w:sectPr w:rsidR="00FC693F" w:rsidRPr="0006063C" w:rsidSect="00034616">
      <w:pgSz w:w="11909" w:h="16834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Arial Unicode MS" w:hAnsi="Arial Unicode MS" w:eastAsia="Arial Unicode MS" w:cs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 Unicode MS" w:hAnsi="Arial Unicode MS" w:eastAsia="Arial Unicode MS" w:cs="Arial Unicode M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 Unicode MS" w:hAnsi="Arial Unicode MS" w:eastAsia="Arial Unicode MS" w:cs="Arial Unicode M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/>
      <w:outlineLvl w:val="4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/>
      <w:outlineLvl w:val="5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/>
      <w:outlineLvl w:val="6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/>
      <w:outlineLvl w:val="7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/>
      <w:outlineLvl w:val="8"/>
    </w:pPr>
    <w:rPr>
      <w:rFonts w:ascii="Arial Unicode MS" w:hAnsi="Arial Unicode MS" w:eastAsia="Arial Unicode MS" w:cs="Arial Unicode MS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 Unicode MS" w:hAnsi="Arial Unicode MS" w:eastAsia="Arial Unicode MS" w:cs="Arial Unicode MS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48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/>
    </w:pPr>
    <w:rPr>
      <w:rFonts w:ascii="Arial Unicode MS" w:hAnsi="Arial Unicode MS" w:eastAsia="Arial Unicode MS" w:cs="Arial Unicode MS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/>
      <w:ind w:left="36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spacing w:after="100"/>
      <w:ind w:left="72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spacing w:after="100"/>
      <w:ind w:left="108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/>
      <w:ind w:left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/>
      <w:ind w:left="108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 Unicode MS" w:hAnsi="Arial Unicode MS" w:eastAsia="Arial Unicode MS" w:cs="Arial Unicode MS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/>
      <w:outlineLvl w:val="9"/>
    </w:pPr>
    <w:rPr>
      <w:rFonts w:ascii="Arial Unicode MS" w:hAnsi="Arial Unicode MS" w:eastAsia="Arial Unicode MS" w:cs="Arial Unicode MS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数据筛选与原始学习率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