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288维与1152维是两种读出方式</w:t>
      </w:r>
    </w:p>
    <w:p>
      <w:r>
        <w:t>保存旧小块模型的首轮290人及后续966人分类，包含R0/R1/R2、标准化、288/1152读出、正则化、prompt、随机、层读出和概率融合。两套人群协议分开解释。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88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8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同一旧小块末端8×8×288特征图：全局平均288维；分四块各自平均再拼接1152维。后续逻辑回归标准化只在训练侧拟合。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同分类器设置，AUROC0.6839→0.7013；再增强正则化范围后约0.7001，BCE改善。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增加读出维数没有扩大骨干，也未重训MAE。AUROC配对区间包含零，属于改善迹象，不能称全面稳定胜出。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随机编码器用于检验预训练贡献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73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3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966人十折，同1152维和分类器。随机编码器不训练骨干，但分类器仍用标签训练；不是随机猜标签。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随机AUROC约0.6698，预训练约0.7001；原始FC约0.7234。Prompt路线约0.7036。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预训练提供可用信号，但没有超过原始FC。不能因未胜原始FC就说完全没学到，也不能把prompt当整个骨干微调。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层读出与原始FC融合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83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冻结骨干；将原始FC分类概率与MAE特征分类概率按既定流程融合。层读出及潜变量扰动的独立结果在详解与表中。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融合AUROC约0.7292，相对原始FC增加0.0058；已有配对区间包含零。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只提示可能互补，没有确认稳定收益。潜变量置零或换人会破坏重建，说明解码器使用个体输入，但不能证明疾病特异性。</w:t>
      </w:r>
    </w:p>
    <w:p>
      <w:r>
        <w:rPr>
          <w:sz w:val="16"/>
        </w:rPr>
        <w:t>来源见本包 来源清单.json；完整数值、配对结果与代码另附。</w:t>
      </w:r>
    </w:p>
    <w:sectPr w:rsidR="00FC693F" w:rsidRPr="0006063C" w:rsidSect="00034616">
      <w:pgSz w:w="11909" w:h="16834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Arial Unicode MS" w:hAnsi="Arial Unicode MS" w:eastAsia="Arial Unicode MS" w:cs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/>
      <w:outlineLvl w:val="4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/>
      <w:outlineLvl w:val="5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/>
      <w:outlineLvl w:val="6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/>
      <w:outlineLvl w:val="7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/>
      <w:outlineLvl w:val="8"/>
    </w:pPr>
    <w:rPr>
      <w:rFonts w:ascii="Arial Unicode MS" w:hAnsi="Arial Unicode MS" w:eastAsia="Arial Unicode MS" w:cs="Arial Unicode MS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 Unicode MS" w:hAnsi="Arial Unicode MS" w:eastAsia="Arial Unicode MS" w:cs="Arial Unicode MS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48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/>
      <w:ind w:left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/>
      <w:ind w:left="108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 Unicode MS" w:hAnsi="Arial Unicode MS" w:eastAsia="Arial Unicode MS" w:cs="Arial Unicode MS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/>
      <w:outlineLvl w:val="9"/>
    </w:pPr>
    <w:rPr>
      <w:rFonts w:ascii="Arial Unicode MS" w:hAnsi="Arial Unicode MS" w:eastAsia="Arial Unicode MS" w:cs="Arial Unicode MS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历史小块Mamba_冻结读出与Prompt分类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