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大小模型的下游疾病分类结果</w:t>
      </w:r>
    </w:p>
    <w:p>
      <w:r>
        <w:drawing>
          <wp:inline xmlns:a="http://schemas.openxmlformats.org/drawingml/2006/main" xmlns:pic="http://schemas.openxmlformats.org/drawingml/2006/picture">
            <wp:extent cx="6480000" cy="27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下游分类原始种子对照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图中实心点是预训练模型，空心点是同结构随机编码器；圆点和方点分别对应两个种子。虚线为直接使用原始FC分类。线段连接配对结果，不表示训练过程。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3"/>
          </w:tcPr>
          <w:p>
            <w:r>
              <w:rPr>
                <w:sz w:val="18"/>
              </w:rPr>
              <w:t>方案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3"/>
          </w:tcPr>
          <w:p>
            <w:r>
              <w:rPr>
                <w:sz w:val="18"/>
              </w:rPr>
              <w:t>AUROC ↑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3"/>
          </w:tcPr>
          <w:p>
            <w:r>
              <w:rPr>
                <w:sz w:val="18"/>
              </w:rPr>
              <w:t>准确率 ↑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3"/>
          </w:tcPr>
          <w:p>
            <w:r>
              <w:rPr>
                <w:sz w:val="18"/>
              </w:rPr>
              <w:t>概率误差BCE ↓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3"/>
          </w:tcPr>
          <w:p>
            <w:r>
              <w:rPr>
                <w:sz w:val="18"/>
              </w:rPr>
              <w:t>未预训练AUROC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FF3"/>
          </w:tcPr>
          <w:p>
            <w:r>
              <w:rPr>
                <w:sz w:val="18"/>
              </w:rPr>
              <w:t>独立训练1 / 2</w:t>
            </w:r>
          </w:p>
        </w:tc>
      </w:tr>
      <w:tr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原始FC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0.6799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61.38%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0.6432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同一参照</w:t>
            </w:r>
          </w:p>
        </w:tc>
      </w:tr>
      <w:tr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小Mamba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0.6437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60.17%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0.7186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0.5819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0.6292 / 0.6582</w:t>
            </w:r>
          </w:p>
        </w:tc>
      </w:tr>
      <w:tr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小Transformer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0.6450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60.86%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0.6668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0.5905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0.6373 / 0.6527</w:t>
            </w:r>
          </w:p>
        </w:tc>
      </w:tr>
      <w:tr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大Mamba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0.6034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58.62%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0.8238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0.5964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0.6201 / 0.5868</w:t>
            </w:r>
          </w:p>
        </w:tc>
      </w:tr>
      <w:tr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大Transformer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0.6279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59.14%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0.6827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0.5971</w:t>
            </w:r>
          </w:p>
        </w:tc>
        <w:tc>
          <w:tcPr>
            <w:tcW w:type="dxa" w:w="1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0.6142 / 0.6417</w:t>
            </w:r>
          </w:p>
        </w:tc>
      </w:tr>
    </w:tbl>
    <w:p>
      <w:r>
        <w:rPr>
          <w:b/>
        </w:rPr>
        <w:t xml:space="preserve">数字口径  </w:t>
      </w:r>
      <w:r>
        <w:t>表中主指标是两个种子各自整体外层测试指标的平均，不是将概率平均后的集成结果；原始FC仅一份确定性参照。AUROC不是准确率；BCE越低通常表示预测概率的误差越小。</w:t>
      </w:r>
    </w:p>
    <w:p>
      <w:r>
        <w:rPr>
          <w:b/>
        </w:rPr>
        <w:t xml:space="preserve">主要发现  </w:t>
      </w:r>
      <w:r>
        <w:t>小Transformer与小Mamba的AUROC只差约0.0013。两种大模型均未超过对应小模型；原始FC在AUROC和BCE上仍优于四组。不能把上游重建优势直接解释成疾病分类优势。</w:t>
      </w:r>
    </w:p>
    <w:p>
      <w:r>
        <w:rPr>
          <w:b/>
        </w:rPr>
        <w:t xml:space="preserve">预训练有没有用  </w:t>
      </w:r>
      <w:r>
        <w:t>小Mamba、小Transformer和大Transformer两个种子均优于各自随机编码器；大Mamba一个种子改善、另一个下降。可以说部分模型的预训练有贡献，但尚未超过原始FC。</w:t>
      </w:r>
    </w:p>
    <w:p>
      <w:r>
        <w:br w:type="page"/>
      </w:r>
    </w:p>
    <w:p>
      <w:pPr>
        <w:pStyle w:val="Heading1"/>
      </w:pPr>
      <w:r>
        <w:t>这些分类结果是怎样得到的</w:t>
      </w:r>
    </w:p>
    <w:p>
      <w:r>
        <w:rPr>
          <w:b/>
        </w:rPr>
        <w:t xml:space="preserve">上游和下游的人分开  </w:t>
      </w:r>
      <w:r>
        <w:t>610人用于重建预训练开发；选定方案后在完整610人上重训。290人用于下游疾病分类，与610人名单不重叠；66人留出不参与本轮评价。历史上这些受试者已参与开发，不能称为全新外部盲测。</w:t>
      </w:r>
    </w:p>
    <w:p>
      <w:r>
        <w:rPr>
          <w:b/>
        </w:rPr>
        <w:t xml:space="preserve">这里的冻结是什么意思  </w:t>
      </w:r>
      <w:r>
        <w:t>完整FC输入编码器，权重不再更新；对116个脑区的特征取平均，小模型得到288维、大模型576维；只训练后面的逻辑回归分类器，解码器不参与。分类没有使用重建后的FC作为输入。</w:t>
      </w:r>
    </w:p>
    <w:p>
      <w:r>
        <w:rPr>
          <w:b/>
        </w:rPr>
        <w:t xml:space="preserve">原始FC与随机编码器  </w:t>
      </w:r>
      <w:r>
        <w:t>原始FC直接取116脑区上三角6670条非对角连接，再标准化和逻辑回归，不经过骨干。随机编码器使用相同模型结构，但未做重建预训练，仍冻结后提取特征和训练分类器。</w:t>
      </w:r>
    </w:p>
    <w:p>
      <w:r>
        <w:rPr>
          <w:b/>
        </w:rPr>
        <w:t xml:space="preserve">十折外层测试  </w:t>
      </w:r>
      <w:r>
        <w:t>290人分10折，每次261人用于分类训练，29人用于外层测试。分类器参数C只在261人内部做三折选择。每人获得一次来自未用该人拟合的分类器的测试预测，再汇总全部290人的成绩。</w:t>
      </w:r>
    </w:p>
    <w:p>
      <w:r>
        <w:rPr>
          <w:b/>
        </w:rPr>
        <w:t xml:space="preserve">分类器设置  </w:t>
      </w:r>
      <w:r>
        <w:t>训练部分拟合StandardScaler；L2逻辑回归，C候选0.001、0.003、0.01、0.03、0.1、1，内部AUROC选C；分类阈值固定0.5。没有根据外层成绩改阈值、删人或选C。</w:t>
      </w:r>
    </w:p>
    <w:p>
      <w:r>
        <w:rPr>
          <w:b/>
        </w:rPr>
        <w:t xml:space="preserve">和之前内部读出图的区别  </w:t>
      </w:r>
      <w:r>
        <w:t>前面的三折token实验，分类器C按同一内部验证集BCE选取并在该验证集报告；本页是290人的嵌套十折外层预测。两套人数与评价流程不同，不能把数值直接拼成模型升级曲线。</w:t>
      </w:r>
    </w:p>
    <w:p>
      <w:r>
        <w:rPr>
          <w:b/>
        </w:rPr>
        <w:t xml:space="preserve">公平性边界  </w:t>
      </w:r>
      <w:r>
        <w:t>四组使用相同下游划分和分类器候选，但各自采用上游选中的优化策略；大小模型还同时改变重建头与特征维度。这里比较最终路线，不是只改变编码器大小的单因素结论。</w:t>
      </w:r>
    </w:p>
    <w:p>
      <w:r>
        <w:rPr>
          <w:b/>
        </w:rPr>
        <w:t xml:space="preserve">小Mamba上游选中设置  </w:t>
      </w:r>
      <w:r>
        <w:t>停滞减半，初始学习率0.0001；完整610人重训94轮。重训按上游选定的学习率轨迹重放，不使用下游人群指导调度。</w:t>
      </w:r>
    </w:p>
    <w:p>
      <w:r>
        <w:rPr>
          <w:b/>
        </w:rPr>
        <w:t xml:space="preserve">小Transformer上游选中设置  </w:t>
      </w:r>
      <w:r>
        <w:t>停滞减半，初始学习率0.0001；完整610人重训100轮。重训按上游选定的学习率轨迹重放，不使用下游人群指导调度。</w:t>
      </w:r>
    </w:p>
    <w:p>
      <w:r>
        <w:rPr>
          <w:b/>
        </w:rPr>
        <w:t xml:space="preserve">大Mamba上游选中设置  </w:t>
      </w:r>
      <w:r>
        <w:t>固定学习率0.0003；完整610人重训48轮。</w:t>
      </w:r>
    </w:p>
    <w:p>
      <w:r>
        <w:rPr>
          <w:b/>
        </w:rPr>
        <w:t xml:space="preserve">大Transformer上游选中设置  </w:t>
      </w:r>
      <w:r>
        <w:t>停滞减半，初始学习率0.0001；完整610人重训97轮。重训按上游选定的学习率轨迹重放，不使用下游人群指导调度。</w:t>
      </w:r>
    </w:p>
    <w:p>
      <w:r>
        <w:t>主要结论：预训练在部分模型上优于随机初始化，但目前重建做得更好，并未稳定转化为更好的疾病分类。当前原始FC仍是更强参照，应继续检查读出方式和分类器泛化，不宜只靠增加参数量。</w:t>
      </w:r>
    </w:p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 Unicode MS" w:hAnsi="Arial Unicode MS" w:eastAsia="Arial Unicode MS" w:cs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Unicode MS" w:hAnsi="Arial Unicode MS" w:eastAsia="Arial Unicode MS" w:cs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冻结编码器后的疾病分类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