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预训练阶段与分类表现</w:t>
      </w:r>
    </w:p>
    <w:p>
      <w:r>
        <w:t>24项新增分类完成，24组冻结特征与17项历史参照核验通过。结果不支持所有模型都因后期训练而变差。</w:t>
      </w:r>
    </w:p>
    <w:p>
      <w:r>
        <w:drawing>
          <wp:inline xmlns:a="http://schemas.openxmlformats.org/drawingml/2006/main" xmlns:pic="http://schemas.openxmlformats.org/drawingml/2006/picture">
            <wp:extent cx="6309360" cy="4015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各阶段分类AU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5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/>
      </w:pPr>
      <w:r>
        <w:rPr>
          <w:b/>
        </w:rPr>
        <w:t xml:space="preserve">设置  </w:t>
      </w:r>
      <w:r>
        <w:t>固定完整展开＋逻辑回归。相同290人、10折外层／3折内层，内层从原6档C选参；种子1、2。新增第5、20、40轮，随机与最终检查点复用前批结果。骨干未重新训练。</w:t>
      </w:r>
    </w:p>
    <w:p>
      <w:pPr>
        <w:spacing w:line="269" w:lineRule="auto"/>
      </w:pPr>
      <w:r>
        <w:rPr>
          <w:b/>
        </w:rPr>
        <w:t xml:space="preserve">图怎么看  </w:t>
      </w:r>
      <w:r>
        <w:t>横轴是实际预训练轮次，0表示随机编码器；纵轴是十折平均AUROC。细线为每个种子，黑线为两种子均值，虚线为原始FC 0.6936。连线只连接实测点，不代表中间轮次已评估。</w:t>
      </w:r>
    </w:p>
    <w:p>
      <w:pPr>
        <w:spacing w:line="269" w:lineRule="auto"/>
      </w:pPr>
      <w:r>
        <w:rPr>
          <w:b/>
        </w:rPr>
        <w:t xml:space="preserve">结果与问题  </w:t>
      </w:r>
      <w:r>
        <w:t>小Mamba：5轮0.6928，20轮0.6821，40轮0.6743，94轮0.6797；两种子都在5→20→40轮下降。大Mamba：20轮均值0.6856，40轮0.6686；最终两个种子0.6860与0.6516，走势分歧明显。大Transformer：5轮0.6769后均值持续下降至97轮0.6529；小Transformer：20轮回落后恢复，100轮0.6831高于5轮0.6773。</w:t>
      </w:r>
    </w:p>
    <w:p>
      <w:pPr>
        <w:spacing w:line="269" w:lineRule="auto"/>
      </w:pPr>
      <w:r>
        <w:rPr>
          <w:b/>
        </w:rPr>
        <w:t xml:space="preserve">边界  </w:t>
      </w:r>
      <w:r>
        <w:t>当前证据定位了阶段变化，不能确认精确拐点，也不能单凭分类下降判定上游过拟合。各模型最终轮次不同：小Mamba94、大Mamba48、小Transformer100、大Transformer97。</w:t>
      </w:r>
    </w:p>
    <w:p>
      <w:r>
        <w:br w:type="page"/>
      </w:r>
    </w:p>
    <w:p>
      <w:pPr>
        <w:pStyle w:val="Title"/>
      </w:pPr>
      <w:r>
        <w:t>概率质量与下一步判断</w:t>
      </w:r>
    </w:p>
    <w:p>
      <w:r>
        <w:t>分类排序、固定阈值准确率和概率质量并不总是同步改善，应分别看。</w:t>
      </w:r>
    </w:p>
    <w:p>
      <w:r>
        <w:drawing>
          <wp:inline xmlns:a="http://schemas.openxmlformats.org/drawingml/2006/main" xmlns:pic="http://schemas.openxmlformats.org/drawingml/2006/picture">
            <wp:extent cx="6309360" cy="2753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准确率与概率误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/>
      </w:pPr>
      <w:r>
        <w:rPr>
          <w:b/>
        </w:rPr>
        <w:t xml:space="preserve">设置  </w:t>
      </w:r>
      <w:r>
        <w:t>图中每点为两个种子的指标均值；左侧准确率使用0.5阈值，右侧BCE衡量预测概率与标签是否吻合。原始FC参照：准确率61.38%，BCE 0.6432。</w:t>
      </w:r>
    </w:p>
    <w:p>
      <w:pPr>
        <w:spacing w:line="269" w:lineRule="auto"/>
      </w:pPr>
      <w:r>
        <w:rPr>
          <w:b/>
        </w:rPr>
        <w:t xml:space="preserve">图怎么看  </w:t>
      </w:r>
      <w:r>
        <w:t>小Mamba第20轮BCE升至0.9975，说明这时概率预测变差，并非只是AUROC变化。大Transformer第5→40轮BCE下降而AUROC下降，说明两个指标评价的方面不同。所有模型所有已检查阶段的两种子平均BCE均高于原始FC。</w:t>
      </w:r>
    </w:p>
    <w:p>
      <w:pPr>
        <w:spacing w:line="269" w:lineRule="auto"/>
      </w:pPr>
      <w:r>
        <w:rPr>
          <w:b/>
        </w:rPr>
        <w:t xml:space="preserve">结果与问题  </w:t>
      </w:r>
      <w:r>
        <w:t>当前优先查目标与表示的变化，而非继续加大容量。小Mamba和大Transformer存在后续阶段分类收益减弱的迹象；小Transformer没有呈现相同走势；大Mamba应保留逐种子分析，不能只用均值宣布某轮开始过拟合。</w:t>
      </w:r>
    </w:p>
    <w:p>
      <w:pPr>
        <w:spacing w:line="269" w:lineRule="auto"/>
      </w:pPr>
      <w:r>
        <w:rPr>
          <w:b/>
        </w:rPr>
        <w:t xml:space="preserve">边界  </w:t>
      </w:r>
      <w:r>
        <w:t>这些结果来自已多次查看的开发人群，只作探索性诊断。不能据此外层成绩把第5轮选成新的正式最佳模型。若下一步做阶段选择或个体差异重建，应预先规定训练数据内部选参规则，并保留随机编码器与原始FC对照；本次没有追加实验。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4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4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预训练阶段与分类表现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