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残差相关目标的上游结果</w:t>
      </w:r>
    </w:p>
    <w:p>
      <w:r>
        <w:t>40项上游、8项全量重拟合、8组冻结特征和8项分类已完成。新增相关约束未带来共同验证重建指标的改善。</w:t>
      </w:r>
    </w:p>
    <w:p>
      <w:r>
        <w:drawing>
          <wp:inline xmlns:a="http://schemas.openxmlformats.org/drawingml/2006/main" xmlns:pic="http://schemas.openxmlformats.org/drawingml/2006/picture">
            <wp:extent cx="6309360" cy="2294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上游验证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4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b/>
        </w:rPr>
        <w:t xml:space="preserve">设置  </w:t>
      </w:r>
      <w:r>
        <w:t>四组为小Mamba/小Transformer，各比较原MSE与MSE加残差相关。原脑区token、方块对称遮挡和模型不变。上游610人五折、双种子，每次100轮；每组按原验证MSE的十个运行均值选轮。</w:t>
      </w:r>
    </w:p>
    <w:p>
      <w:pPr>
        <w:spacing w:line="288" w:lineRule="auto"/>
      </w:pPr>
      <w:r>
        <w:rPr>
          <w:b/>
        </w:rPr>
        <w:t xml:space="preserve">结果  </w:t>
      </w:r>
      <w:r>
        <w:t>Mamba原MSE/新增约束：MSE 0.013501/0.013603，相关0.7297/0.7280，幅度比0.8255/0.8314。Transformer：MSE 0.010156/0.010510，相关0.8036/0.7962，幅度比约0.8628/0.8628。</w:t>
      </w:r>
    </w:p>
    <w:p>
      <w:pPr>
        <w:spacing w:line="288" w:lineRule="auto"/>
      </w:pPr>
      <w:r>
        <w:rPr>
          <w:b/>
        </w:rPr>
        <w:t xml:space="preserve">问题与解释  </w:t>
      </w:r>
      <w:r>
        <w:t>新增项两架构的验证MSE均更高。Mamba幅度比略接近1，但不能单独判为改善。训练相关项用对称化上三角；这里沿用原共同验证指标，不能把新增训练项降低直接当作有效。所选轮次MS原94/新增97，TS两组100。</w:t>
      </w:r>
    </w:p>
    <w:p>
      <w:r>
        <w:br w:type="page"/>
      </w:r>
    </w:p>
    <w:p>
      <w:pPr>
        <w:pStyle w:val="Title"/>
      </w:pPr>
      <w:r>
        <w:t>残差相关目标的下游结果</w:t>
      </w:r>
    </w:p>
    <w:p>
      <w:r>
        <w:t>固定冻结骨干完整展开33408维＋逻辑回归。四个配对种子的AUROC均未提高，按预先规则进入编码器表示一致性对照。</w:t>
      </w:r>
    </w:p>
    <w:p>
      <w:r>
        <w:drawing>
          <wp:inline xmlns:a="http://schemas.openxmlformats.org/drawingml/2006/main" xmlns:pic="http://schemas.openxmlformats.org/drawingml/2006/picture">
            <wp:extent cx="6309360" cy="25811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下游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8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88" w:lineRule="auto"/>
      </w:pPr>
      <w:r>
        <w:rPr>
          <w:b/>
        </w:rPr>
        <w:t xml:space="preserve">设置  </w:t>
      </w:r>
      <w:r>
        <w:t>使用原290人和10外层×3内层，六档C及训练折内标准化不变。80个外层折核对源文件摘要、特征与权重、受试者顺序并重算指标；无新增骨干或分类器候选。</w:t>
      </w:r>
    </w:p>
    <w:p>
      <w:pPr>
        <w:spacing w:line="288" w:lineRule="auto"/>
      </w:pPr>
      <w:r>
        <w:rPr>
          <w:b/>
        </w:rPr>
        <w:t xml:space="preserve">结果  </w:t>
      </w:r>
      <w:r>
        <w:t>小Mamba AUROC 0.6797→0.6726，BCE 0.8145→0.9404，准确率60.86%→62.07%。小Transformer AUROC 0.6831→0.6809，BCE 0.7868→0.7358，准确率62.59%→61.90%。原始FC AUROC 0.6936。</w:t>
      </w:r>
    </w:p>
    <w:p>
      <w:pPr>
        <w:spacing w:line="288" w:lineRule="auto"/>
      </w:pPr>
      <w:r>
        <w:rPr>
          <w:b/>
        </w:rPr>
        <w:t xml:space="preserve">问题与解释  </w:t>
      </w:r>
      <w:r>
        <w:t>排序、准确率和概率质量并不一致变化；不能只挑改善的指标宣布成功。当前配方没有一致收益，不等于所有个体差异目标都无效。后续唯一授权批次是两视图MSE与加入ROI表示一致性，先做短程与防退化检查；不叠加残差项、不扩容量、不据外层测试调参。290人是反复开发队列，非新盲测。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6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6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6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6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6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6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6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60" w:line="24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60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60" w:line="480" w:lineRule="auto"/>
    </w:pPr>
    <w:rPr>
      <w:rFonts w:ascii="Arial Unicode MS" w:hAnsi="Arial Unicode MS" w:eastAsia="Arial Unicode MS" w:cs="Arial Unicode MS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60"/>
    </w:pPr>
    <w:rPr>
      <w:rFonts w:ascii="Arial Unicode MS" w:hAnsi="Arial Unicode MS" w:eastAsia="Arial Unicode MS" w:cs="Arial Unicode MS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60"/>
      <w:ind w:left="36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60"/>
      <w:ind w:left="72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60"/>
      <w:ind w:left="1080" w:hanging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60"/>
      <w:ind w:left="36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60"/>
      <w:ind w:left="72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60"/>
      <w:ind w:left="1080"/>
      <w:contextualSpacing/>
    </w:pPr>
    <w:rPr>
      <w:rFonts w:ascii="Arial Unicode MS" w:hAnsi="Arial Unicode MS" w:eastAsia="Arial Unicode MS" w:cs="Arial Unicode MS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/>
    </w:pPr>
    <w:rPr>
      <w:rFonts w:ascii="Arial Unicode MS" w:hAnsi="Arial Unicode MS" w:eastAsia="Arial Unicode MS" w:cs="Arial Unicode MS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60"/>
    </w:pPr>
    <w:rPr>
      <w:rFonts w:ascii="Arial Unicode MS" w:hAnsi="Arial Unicode MS" w:eastAsia="Arial Unicode MS" w:cs="Arial Unicode MS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 Unicode MS" w:hAnsi="Arial Unicode MS" w:eastAsia="Arial Unicode MS" w:cs="Arial Unicode MS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60"/>
      <w:ind w:left="936" w:right="936"/>
    </w:pPr>
    <w:rPr>
      <w:rFonts w:ascii="Arial Unicode MS" w:hAnsi="Arial Unicode MS" w:eastAsia="Arial Unicode MS" w:cs="Arial Unicode MS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60"/>
      <w:outlineLvl w:val="9"/>
    </w:pPr>
    <w:rPr>
      <w:rFonts w:ascii="Arial Unicode MS" w:hAnsi="Arial Unicode MS" w:eastAsia="Arial Unicode MS" w:cs="Arial Unicode MS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残差相关目标四组完整结果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