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color w:val="637486"/>
          <w:sz w:val="20"/>
        </w:rPr>
        <w:t>AI工程实践 · 交互与核验附件</w:t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AI使用日志与交互案例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附件以保存的阶段AI日志、原始提示、源码审阅和验收记录为依据，说明人怎样把任务交给AI，怎样处理其输出，以及哪些内容未被采纳。它不是完整聊天逐字导出，也不补画不存在的聊天截图。原件均保留在evidence/source；文中S编号见reference/来源编号与阅读索引.md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 记录分类与使用原则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标记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含义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使用方式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原话节选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能在保存的日志／当前对话中定位的文字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使用引号或引用块，注明来源，不伪装成整段完整会话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日志摘要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根据阶段记录整理的任务与响应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不加“原始提示词”标签，不推测未记录上下文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源码事实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从指定代码或配置直接可见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说明文件和作用，不等于新运行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历史实测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原命令、日志、指标或设备验收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保留时间和环境范围，不称本轮复跑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本轮整理／新增检查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当前文稿、目录与静态校验工具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与历史模型成果分开；云端执行需真实记录</w:t>
            </w:r>
          </w:p>
        </w:tc>
      </w:tr>
    </w:tbl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实际工具角色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ChatGPT参与对话、方案讨论、交接、材料解释和提交组织；Codex承担大部分仓库、终端、训练与验证实现；DeepSeek网页仅有第六阶段风险审查及草稿记录。项目未使用Claude Code。不同AI的相互审查不是自动的独立实验认证。[S02、S08、S13–S14]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交接包的写作会话没有GitHub写入接口。2026年10月19日由现有Codex会话接手发布；没有另建任务，也不把新发布动作倒记为原训练期操作。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 从选题到交付的阶段日志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2"/>
        <w:gridCol w:w="2554"/>
        <w:gridCol w:w="2554"/>
        <w:gridCol w:w="2460"/>
      </w:tblGrid>
      <w:tr>
        <w:trPr>
          <w:cantSplit/>
          <w:tblHeader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输入任务与约束（摘要）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AI产物及执行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核查／取舍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选题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医学图像方向；子集由助手推荐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PathMNIST任务、数据与对照建议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未记录多数据集性能海选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数据环境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只在本人服务器目录；不在本机下载完整数据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环境、数据下载、manifest、分布图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MD5与数组检查；患者ID限制保留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流程基线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分阶段开展，每阶段留汇报证据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smoke、probe、run-one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先小后大；共同batch128可用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A—D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同一协议继续剩余主实验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11次新轨迹及既有基线；逐图复核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三种子不是三折；未打开正式测试分数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审计扩展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查高验证分数；完成E；恢复原型独立开发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候选审计、三条E、resume_v2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不自动删近同样本；不扩满建议训练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冻结测试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锁定后评价；不覆写既有证据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D_seed2026选择、15条统一测试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E更高也不倒改本轮选择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量化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冻结后仅train校准、val验收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DeepSeek草稿、Codex PTQ与图表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原两版失败记录保留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第七阶段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不重训、不重开测试、独立演示与补证据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原CSV复制核验、CLI/UI、有限PTQ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候选通过精度门槛仍更慢，默认FP32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当前提交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AI实践为主，原仓库不动，新仓库独立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新主报告、附件、同步PPT、提交目录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 xml:space="preserve">云端发布与CI已实测；按小组决定公开，不回写历史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以上是工作流摘要，不把所有代码生成和执行归为同一次提示。主要来源：S02、S05–S10、S13–S14、S20。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阶段衔接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阶段总结不是单纯“完成百分比”，而应说明产物路径、核验结果、未决问题与下一步是否得到批准。用户多次提出范围和不覆盖约束，Codex再依据当前源码与产物落实；由此把聊天中的意图保存在项目文件中。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 案例一：把方向描述变成明确任务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原话与摘要分开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阶段日志保存的用户原话节选：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可以，进行下一阶段的任务了，要在每一阶段做好记录，最终目的都是为了最后的汇报和报告。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来源：docs/AI使用日志.md，第二阶段条目。[S02]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“选择医学图像方向，将具体子集交由助手推荐”属于同一日志中的人工决策摘要；它不是本附件重新取得的一段完整原始聊天。此处不用虚构的聊天气泡展示。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AI如何拆解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任务从领域方向细化为PathMNIST数据、九类标签、官方划分、模型与尺寸比较、D/E消融、种子、训练设置、评价指标和冻结规则。相应产物是方法协议、matrix、manifest、代码及阶段文档。配置形成经历多轮推进，不应声称“一句提示自动生成最终全部设计”。[S02–S06]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原始约束的工程作用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落到文件或执行上的作用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只使用本人项目目录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环境、下载缓存和运行输出限定在约定项目范围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不把完整数据下载到本机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大数据与权重留在服务器，轻量证据另行复制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每阶段保留记录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保存命令、日志、配置、来源标识与图表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先检查再扩大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小样本测试不能省略，也不能将其分数并入正式实验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后来当用户允许数据在服务器下载或调整运行范围时，记录注明了授权变化，没有把最初限制当成永远不变，也没有无依据推断新的授权。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可以从这个案例学到什么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有效交互不仅包含目标，还应给出上下文、边界和验收方式。字段如何固定、图像尺寸如何选择仍需要在后续实现中检查；任务文档不是正确性的替代品。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 案例二：ChatGPT建议由Codex回到源码核对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日期与性质：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2026-09-23；方案评审，不是新增实验启动。用户把ChatGPT对话中的PATHMNIST_EXPERIMENT_V2.md与CODEX_START_HERE.md交给Codex，并要求判断建议是否适用。原建议正文在本附件中不重建，仅引用已归档审阅表。[S08]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对话中的建议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源码／协议核对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采纳状态与证据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需要补自动早停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已有验证Macro-F1早停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否决“缺失”判断，不重复实现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需要完整断点恢复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best.pt缺优化器、调度器、随机状态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采纳，但在独立resume_v2目录实现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40轮直接续到200轮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T_max变更影响学习率轨迹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不当原训练延续；未默认启动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更多轨迹与新的增强消融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建议参照不等于原E组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先完成原协议，不照搬建议预算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高分值得核查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数据与代码审计具有实际价值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采纳只读审计，保留患者ID限制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实际恢复原型有本地合成检查及历史GPU短轨迹验收；连续4轮与2+2恢复的24项状态比较一致。它不构成第四个种子或新的正式模型结果。[S09]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对协作的影响。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ChatGPT可以帮助提出结构化方案，但执行代理必须掌握当前代码状态；Codex的核对也要留下依据。这个案例避免了把另一对话的假设直接转成大量新增训练。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未确认个人归属。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日志记有用户提出审阅任务、Codex完成审阅与实现；没有署名证据的逐行人工审核，不归给具体组员。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 案例三：DeepSeek审查和草稿的选择性采用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日期：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2026-09-28。实际界面为DeepSeek网页。输入为公开方法概述，不上传完整源码、原图、逐图预测、服务器地址或凭据。[S13]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原始提示节选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请给出：1）按严重性排序的最多6个实施或解释风险及相应验收办法；2）一段不超过50行的Python函数，接收相同顺序的y_true、FP32九类概率数组和INT8九类概率数组，验证形状/有限值/概率和……请只依据上述公开方法信息回答，不假设你已运行该项目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省略处仅为缩短显示，完整原话见原记录。函数接口、数据角色与不使用测试集调参等条件也在原提示中说明。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反馈与处理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DeepSeek提出校准和验收集分工、S8S8数值风险、计时可比性、概率接口、校准采样偏差和逐类退化等风险。指标草稿存在输入检查不完整：0—8标签、非负概率、非空样本和固定九类labels未完整约束。该函数未进入正式指标管线，沿用已有classification_metrics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第二次提示请求从comparison.json生成对比图，不访问网络和原图。草稿经过协议、非法数值、P95、文字位置及字体修订后，先用合成JSON验收。合成数据图不用于正式结果，正式图来源为真实量化汇总。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结论。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AI草稿可以被拒绝；两个不同工具参与，不等于自动获得两份实测证据。“人工修订”没有具体署名的部分保持待确认，不写成某位组员完全独立实现。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 案例四：复核脚本失败，只修复核验链条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第五阶段模型已经产生正式测试预测，独立复核程序首次读取混淆矩阵时，将JSON列表误当对象，导致程序停止。修复的是读取类型，再重新运行复核脚本；正式测试预测没有重跑或修改。[S10]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需要区分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此次实际对象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原始实验产物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冻结模型已生成的测试预测与指标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出错程序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读取和比较这些产物的独立复核脚本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修复范围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JSON类型处理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重跑范围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复核脚本，而非模型训练或测试预测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最终证据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修复后的核查记录与原结果来源仍一致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如果因为核验程序报错就重新生成测试预测，既不能直接解决类型问题，还可能覆盖原证据。保留失败和控制修复范围，是Harness在真实工程中的具体作用，而不是要求系统永远不出错。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关联案例：演示路径与文件保护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七阶段把依赖原服务器路径的演示整理为独立CLI/UI，默认FP32，检查模型SHA、标签、布局与预处理，限制路径越界，输出使用拒绝覆盖的方式。已有搬迁目录、断网与异常输入记录，但不等于当前新教师目录已经包含模型、样例或完成运行。[S17–S18、S21]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7 案例五：量化诊断、重试与证据边界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任务摘要。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第七阶段要求限时、只用train/val诊断，若有明确线索才有限追加PTQ，不打开官方测试，不自动QAT。[S14–S15]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问题与修复顺序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处理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没有做的事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reader缺迭代接口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修订数据读取，保留失败退出码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不删除失败记录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uint8调试助手计算回绕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提升类型并用反量化对照复核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不认定其为实际ONNX推理失败根因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原量化分数严重下降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根据训练样例线索登记五Conv浮点候选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不用测试集挑量化参数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初次候选验收基线路径错误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对照候选SHA，修正路径后再核验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不将启动成功当完整验收成功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候选精度恢复、速度仍慢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保存候选与各自基线，默认FP32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不把压缩率改称加速率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历史记录区分18张独立诊断样例、576张训练校准样例与10,004张验证图像；含重试的验证处理张次不等于更多独立样本。完整验证F1为0.9956677882，现存记录为工程验收，未形成新外部测试。[S15–S16]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为什么保留失败也有报告价值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本案例允许看到输入接口、辅助工具、数据路径和性能目标四类问题；它们需要不同检查，不能统一称为“模型不够好”。本轮重新组织材料没有重新执行上述命令，历史验收和当前文稿检查分开。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8 Skill、复用与新提交阶段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8.1 实际记录与不能补造的内容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项目已存在的数据/训练CLI、审计脚本、resume_v2、portable_demo和打包逻辑，是可复用的工程能力。当前没有专用local/global Skill名称、配置作用域与调用记录的完整证据，因此不列为项目历史已使用的正式Skill包。[S02、S14]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对本轮文稿制作而言，使用的文档／PPT渲染工具和本地文件检查属于当前整理行为，不倒写成训练期的Codex Skill。将来新增Skill，应记录名称、版本、作用域、触发任务与实际输出，而非仅截图“已安装”。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8.2 新教师仓库的边界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用户确认原科学仓库保持不变。发布接手已创建独立提交库并上传，现按小组决定公开，补齐11份原运行资产，另存新副本20项运行检查及4项界面验收，取得真实CI通过记录。CI只检查文件与算术；公开阅读无需邀请，用户不要求现场投影验收；仓库、Release与运行链接见S21。[S20–S21]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 xml:space="preserve">8.3 成员分工与贡献说明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4"/>
        <w:gridCol w:w="1325"/>
        <w:gridCol w:w="2365"/>
        <w:gridCol w:w="2744"/>
        <w:gridCol w:w="1514"/>
      </w:tblGrid>
      <w:tr>
        <w:trPr>
          <w:cantSplit/>
          <w:tblHeader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成员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学号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责任范围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对应资料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补充来源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王张文皓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12615035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代码与技术实现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技术实现与演示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小组提供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赵昱淳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12615027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项目规划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规划与阶段文档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小组提供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李以祺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22615003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后端测试与代码整理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源码与测试说明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小组提供</w:t>
            </w:r>
          </w:p>
        </w:tc>
      </w:tr>
      <w:tr>
        <w:trPr>
          <w:cantSplit/>
        </w:trPr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朱逸枫</w:t>
            </w:r>
          </w:p>
        </w:tc>
        <w:tc>
          <w:tcPr>
            <w:tcW w:type="dxa" w:w="132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12615026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云端维护与报告整理</w:t>
            </w:r>
          </w:p>
        </w:tc>
        <w:tc>
          <w:tcPr>
            <w:tcW w:type="dxa" w:w="274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云端与报告材料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小组提供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成员及学号由小组提供，责任范围见本表与《成员分工与贡献说明》。对应资料仅用于定位项目内容，不证明某条未署名命令由该成员亲自执行。AI参与仍按日志保留；不编造工时、贡献比例或效率数值。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原件与来源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主要原件：docs/AI使用日志.md；docs/实验升级方案审阅记录.md；stage4/续训工程验收记录.md；stage5/第五阶段执行记录.md；stage6/DeepSeek量化审查记录.md；stage7/AI使用日志.md、执行记录.md、quantization_diagnosis.md。复制路径及SHA见evidence/source_provenance.json；本轮决定见ai_workflow/decisions/本轮用户决定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1049" w:left="1191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b w:val="0"/>
        <w:color w:val="637486"/>
        <w:sz w:val="16"/>
      </w:rPr>
      <w:t xml:space="preserve">科学证据 d5e4a71 · 提交材料 v1   |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5" w:color="D5E1ED"/>
      </w:pBdr>
    </w:pPr>
    <w:r>
      <w:rPr>
        <w:rFonts w:ascii="Noto Sans CJK SC" w:hAnsi="Noto Sans CJK SC" w:eastAsia="Noto Sans CJK SC" w:cs="Noto Sans CJK SC"/>
        <w:b w:val="0"/>
        <w:color w:val="637486"/>
        <w:sz w:val="17"/>
      </w:rPr>
      <w:t>PathMNIST · AI工程实践  |  AI使用日志与交互案例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2" w:lineRule="auto" w:after="14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64C9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2" w:lineRule="auto"/>
    </w:pPr>
    <w:rPr>
      <w:rFonts w:ascii="Noto Serif CJK SC" w:hAnsi="Noto Serif CJK SC" w:eastAsia="Noto Serif CJK SC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AI使用日志与交互案例</dc:title>
  <dc:subject>PathMNIST课程第一阶段；AI实践导向提交材料v1</dc:subject>
  <dc:creator>PathMNIST课程小组（ChatGPT辅助编排）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