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color w:val="637486"/>
          <w:sz w:val="20"/>
        </w:rPr>
        <w:t>研究生工程实践 · PathMNIST · 第一阶段</w:t>
      </w:r>
    </w:p>
    <w:p>
      <w:pPr>
        <w:pStyle w:val="Heading1"/>
        <w:spacing w:before="360" w:after="320"/>
      </w:pPr>
      <w:r>
        <w:rPr>
          <w:rFonts w:ascii="Noto Sans CJK SC" w:hAnsi="Noto Sans CJK SC" w:eastAsia="Noto Sans CJK SC" w:cs="Noto Sans CJK SC"/>
          <w:b w:val="0"/>
          <w:color w:val="064C91"/>
          <w:sz w:val="50"/>
        </w:rPr>
        <w:t>数据集探索笔记</w:t>
      </w:r>
    </w:p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sz w:val="21"/>
        </w:rPr>
        <w:t>本笔记整理项目第一阶段的数据探索与第四阶段的关联候选审计。对象是已经发布的PathMNIST 128像素图像块，不含新增患者数据。本文的“核验通过”均指所引用阶段的历史记录；本轮不重新打开完整NPZ进行数据审计。[E03、E11]</w:t>
      </w:r>
    </w:p>
    <w:p>
      <w:pPr>
        <w:pStyle w:val="Heading2"/>
        <w:spacing w:before="140" w:after="120"/>
      </w:pPr>
      <w:r>
        <w:rPr>
          <w:rFonts w:ascii="Noto Sans CJK SC" w:hAnsi="Noto Sans CJK SC" w:eastAsia="Noto Sans CJK SC" w:cs="Noto Sans CJK SC"/>
          <w:b w:val="0"/>
          <w:color w:val="064C91"/>
          <w:sz w:val="25"/>
        </w:rPr>
        <w:t>1  数据来源和研究用途</w:t>
      </w:r>
    </w:p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sz w:val="21"/>
        </w:rPr>
        <w:t>使用官方pathmnist_128.npz，Zenodo记录10519652；MD5为ac42d08fb904d92c244187169d1fd1d9。历史准备记录显示完整文件校验通过，保留官方划分和样本顺序。训练与验证来自同一开发来源，测试来自另一临床中心；这属于来源说明，不等于本工程重新查证了每位患者来源。[E02–E03]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4"/>
        <w:gridCol w:w="6906"/>
      </w:tblGrid>
      <w:tr>
        <w:trPr>
          <w:cantSplit/>
          <w:tblHeader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数据事实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原始图像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128×128×3，RGB，uint8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标签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整数0—8，对应九类组织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训练 / 验证 / 测试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89,996 / 10,004 / 7,180张图像块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任务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组织图像块多分类；非患者诊断 / 生存预测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来源分组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NPZ未提供患者和原始切片ID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实际尺寸对照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同一128图像直接使用，或缩小到64；不重新选样本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是否删除或移动样本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精确跨集合重复0对；没有因此删改官方划分</w:t>
            </w:r>
          </w:p>
        </w:tc>
      </w:tr>
    </w:tbl>
    <w:p>
      <w:pPr>
        <w:pStyle w:val="Heading2"/>
        <w:spacing w:before="140" w:after="120"/>
      </w:pPr>
      <w:r>
        <w:rPr>
          <w:rFonts w:ascii="Noto Sans CJK SC" w:hAnsi="Noto Sans CJK SC" w:eastAsia="Noto Sans CJK SC" w:cs="Noto Sans CJK SC"/>
          <w:b w:val="0"/>
          <w:color w:val="064C91"/>
          <w:sz w:val="25"/>
        </w:rPr>
        <w:t>2  数据清单如何固定</w:t>
      </w:r>
    </w:p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sz w:val="21"/>
        </w:rPr>
        <w:t>prepare流程将图像与标签数组写为可读取的文件，训练以只读内存映射读取图像，减少一次性加载整个数据集的需求。清单记录文件校验值、标签顺序、原始计数、有效索引、重复处理策略和数据标识；后续训练与冻结核对这些身份信息。映射读取是工程方法，不改变样本或标签。[E03]</w:t>
      </w:r>
    </w:p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sz w:val="21"/>
        </w:rPr>
        <w:t>固定manifest_id：ce844e66f5f346beccf155173d3de7ed7b161412f65dc6f5d67a347f2b40590b。原文件在服务器目录保存；新增交接资料同时记录既有私有GitHub数据Release。本文不将历史“只在服务器”当成最新存放状态。具体索引见本提交《教师阅读与运行入口》。</w:t>
      </w:r>
    </w:p>
    <w:p>
      <w:pPr>
        <w:pStyle w:val="Heading2"/>
        <w:spacing w:before="140" w:after="120"/>
      </w:pPr>
      <w:r>
        <w:rPr>
          <w:rFonts w:ascii="Noto Sans CJK SC" w:hAnsi="Noto Sans CJK SC" w:eastAsia="Noto Sans CJK SC" w:cs="Noto Sans CJK SC"/>
          <w:b w:val="0"/>
          <w:color w:val="064C91"/>
          <w:sz w:val="25"/>
        </w:rPr>
        <w:t>研究前已知的限制</w:t>
      </w:r>
    </w:p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sz w:val="21"/>
        </w:rPr>
        <w:t>不能用107,180张图像块代表107,180名患者；也不能通过图像索引、文件名或像素哈希自行构造患者ID。后续若没有可靠分组映射，仍应保留患者级独立性无法核验的表述。</w:t>
      </w:r>
    </w:p>
    <w:p>
      <w:r>
        <w:br w:type="page"/>
      </w:r>
    </w:p>
    <w:p>
      <w:pPr>
        <w:pStyle w:val="Heading1"/>
        <w:spacing w:before="140" w:after="120"/>
      </w:pPr>
      <w:r>
        <w:rPr>
          <w:rFonts w:ascii="Noto Sans CJK SC" w:hAnsi="Noto Sans CJK SC" w:eastAsia="Noto Sans CJK SC" w:cs="Noto Sans CJK SC"/>
          <w:b w:val="0"/>
          <w:color w:val="064C91"/>
          <w:sz w:val="32"/>
        </w:rPr>
        <w:t>3  九类分布与可视化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1"/>
        <w:gridCol w:w="1987"/>
        <w:gridCol w:w="1608"/>
        <w:gridCol w:w="1608"/>
        <w:gridCol w:w="1703"/>
        <w:gridCol w:w="1703"/>
      </w:tblGrid>
      <w:tr>
        <w:trPr>
          <w:cantSplit/>
          <w:tblHeader/>
        </w:trPr>
        <w:tc>
          <w:tcPr>
            <w:tcW w:type="dxa" w:w="85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9"/>
              </w:rPr>
              <w:t>ID</w:t>
            </w:r>
          </w:p>
        </w:tc>
        <w:tc>
          <w:tcPr>
            <w:tcW w:type="dxa" w:w="1987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9"/>
              </w:rPr>
              <w:t>组织类别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9"/>
              </w:rPr>
              <w:t>训练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9"/>
              </w:rPr>
              <w:t>验证</w:t>
            </w:r>
          </w:p>
        </w:tc>
        <w:tc>
          <w:tcPr>
            <w:tcW w:type="dxa" w:w="1703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9"/>
              </w:rPr>
              <w:t>测试</w:t>
            </w:r>
          </w:p>
        </w:tc>
        <w:tc>
          <w:tcPr>
            <w:tcW w:type="dxa" w:w="1703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9"/>
              </w:rPr>
              <w:t>测试比例</w:t>
            </w:r>
          </w:p>
        </w:tc>
      </w:tr>
      <w:tr>
        <w:trPr>
          <w:cantSplit/>
        </w:trPr>
        <w:tc>
          <w:tcPr>
            <w:tcW w:type="dxa" w:w="85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0</w:t>
            </w:r>
          </w:p>
        </w:tc>
        <w:tc>
          <w:tcPr>
            <w:tcW w:type="dxa" w:w="1987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脂肪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9,366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1,041</w:t>
            </w:r>
          </w:p>
        </w:tc>
        <w:tc>
          <w:tcPr>
            <w:tcW w:type="dxa" w:w="1703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1,338</w:t>
            </w:r>
          </w:p>
        </w:tc>
        <w:tc>
          <w:tcPr>
            <w:tcW w:type="dxa" w:w="1703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18.64%</w:t>
            </w:r>
          </w:p>
        </w:tc>
      </w:tr>
      <w:tr>
        <w:trPr>
          <w:cantSplit/>
        </w:trPr>
        <w:tc>
          <w:tcPr>
            <w:tcW w:type="dxa" w:w="85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</w:t>
            </w:r>
          </w:p>
        </w:tc>
        <w:tc>
          <w:tcPr>
            <w:tcW w:type="dxa" w:w="1987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背景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9,509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1,057</w:t>
            </w:r>
          </w:p>
        </w:tc>
        <w:tc>
          <w:tcPr>
            <w:tcW w:type="dxa" w:w="1703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847</w:t>
            </w:r>
          </w:p>
        </w:tc>
        <w:tc>
          <w:tcPr>
            <w:tcW w:type="dxa" w:w="1703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11.80%</w:t>
            </w:r>
          </w:p>
        </w:tc>
      </w:tr>
      <w:tr>
        <w:trPr>
          <w:cantSplit/>
        </w:trPr>
        <w:tc>
          <w:tcPr>
            <w:tcW w:type="dxa" w:w="85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2</w:t>
            </w:r>
          </w:p>
        </w:tc>
        <w:tc>
          <w:tcPr>
            <w:tcW w:type="dxa" w:w="1987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碎屑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10,360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1,152</w:t>
            </w:r>
          </w:p>
        </w:tc>
        <w:tc>
          <w:tcPr>
            <w:tcW w:type="dxa" w:w="1703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339</w:t>
            </w:r>
          </w:p>
        </w:tc>
        <w:tc>
          <w:tcPr>
            <w:tcW w:type="dxa" w:w="1703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4.72%</w:t>
            </w:r>
          </w:p>
        </w:tc>
      </w:tr>
      <w:tr>
        <w:trPr>
          <w:cantSplit/>
        </w:trPr>
        <w:tc>
          <w:tcPr>
            <w:tcW w:type="dxa" w:w="85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3</w:t>
            </w:r>
          </w:p>
        </w:tc>
        <w:tc>
          <w:tcPr>
            <w:tcW w:type="dxa" w:w="1987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淋巴细胞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10,401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1,156</w:t>
            </w:r>
          </w:p>
        </w:tc>
        <w:tc>
          <w:tcPr>
            <w:tcW w:type="dxa" w:w="1703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634</w:t>
            </w:r>
          </w:p>
        </w:tc>
        <w:tc>
          <w:tcPr>
            <w:tcW w:type="dxa" w:w="1703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8.83%</w:t>
            </w:r>
          </w:p>
        </w:tc>
      </w:tr>
      <w:tr>
        <w:trPr>
          <w:cantSplit/>
        </w:trPr>
        <w:tc>
          <w:tcPr>
            <w:tcW w:type="dxa" w:w="85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4</w:t>
            </w:r>
          </w:p>
        </w:tc>
        <w:tc>
          <w:tcPr>
            <w:tcW w:type="dxa" w:w="1987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黏液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8,006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890</w:t>
            </w:r>
          </w:p>
        </w:tc>
        <w:tc>
          <w:tcPr>
            <w:tcW w:type="dxa" w:w="1703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1,035</w:t>
            </w:r>
          </w:p>
        </w:tc>
        <w:tc>
          <w:tcPr>
            <w:tcW w:type="dxa" w:w="1703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14.42%</w:t>
            </w:r>
          </w:p>
        </w:tc>
      </w:tr>
      <w:tr>
        <w:trPr>
          <w:cantSplit/>
        </w:trPr>
        <w:tc>
          <w:tcPr>
            <w:tcW w:type="dxa" w:w="85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5</w:t>
            </w:r>
          </w:p>
        </w:tc>
        <w:tc>
          <w:tcPr>
            <w:tcW w:type="dxa" w:w="1987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平滑肌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12,182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1,354</w:t>
            </w:r>
          </w:p>
        </w:tc>
        <w:tc>
          <w:tcPr>
            <w:tcW w:type="dxa" w:w="1703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592</w:t>
            </w:r>
          </w:p>
        </w:tc>
        <w:tc>
          <w:tcPr>
            <w:tcW w:type="dxa" w:w="1703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8.25%</w:t>
            </w:r>
          </w:p>
        </w:tc>
      </w:tr>
      <w:tr>
        <w:trPr>
          <w:cantSplit/>
        </w:trPr>
        <w:tc>
          <w:tcPr>
            <w:tcW w:type="dxa" w:w="85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6</w:t>
            </w:r>
          </w:p>
        </w:tc>
        <w:tc>
          <w:tcPr>
            <w:tcW w:type="dxa" w:w="1987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正常结肠黏膜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7,886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877</w:t>
            </w:r>
          </w:p>
        </w:tc>
        <w:tc>
          <w:tcPr>
            <w:tcW w:type="dxa" w:w="1703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741</w:t>
            </w:r>
          </w:p>
        </w:tc>
        <w:tc>
          <w:tcPr>
            <w:tcW w:type="dxa" w:w="1703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10.32%</w:t>
            </w:r>
          </w:p>
        </w:tc>
      </w:tr>
      <w:tr>
        <w:trPr>
          <w:cantSplit/>
        </w:trPr>
        <w:tc>
          <w:tcPr>
            <w:tcW w:type="dxa" w:w="85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7</w:t>
            </w:r>
          </w:p>
        </w:tc>
        <w:tc>
          <w:tcPr>
            <w:tcW w:type="dxa" w:w="1987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癌相关间质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9,401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1,045</w:t>
            </w:r>
          </w:p>
        </w:tc>
        <w:tc>
          <w:tcPr>
            <w:tcW w:type="dxa" w:w="1703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421</w:t>
            </w:r>
          </w:p>
        </w:tc>
        <w:tc>
          <w:tcPr>
            <w:tcW w:type="dxa" w:w="1703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5.86%</w:t>
            </w:r>
          </w:p>
        </w:tc>
      </w:tr>
      <w:tr>
        <w:trPr>
          <w:cantSplit/>
        </w:trPr>
        <w:tc>
          <w:tcPr>
            <w:tcW w:type="dxa" w:w="85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8</w:t>
            </w:r>
          </w:p>
        </w:tc>
        <w:tc>
          <w:tcPr>
            <w:tcW w:type="dxa" w:w="1987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结直肠腺癌上皮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12,885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1,432</w:t>
            </w:r>
          </w:p>
        </w:tc>
        <w:tc>
          <w:tcPr>
            <w:tcW w:type="dxa" w:w="1703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1,233</w:t>
            </w:r>
          </w:p>
        </w:tc>
        <w:tc>
          <w:tcPr>
            <w:tcW w:type="dxa" w:w="1703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17.17%</w:t>
            </w:r>
          </w:p>
        </w:tc>
      </w:tr>
    </w:tbl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sz w:val="21"/>
        </w:rPr>
        <w:t>表1  源计数来自stage1/class_counts.csv；比例为计数/该split总数的透明算术。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878029" cy="2880360"/>
            <wp:docPr id="1" name="Picture 1" descr="图1  各split内部类别比例。条形长度表示比例，不是患者数量或模型表现。[E03]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strib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78029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 w:line="269" w:lineRule="auto"/>
      </w:pPr>
      <w:r>
        <w:rPr>
          <w:rFonts w:ascii="Noto Sans CJK SC" w:hAnsi="Noto Sans CJK SC" w:eastAsia="Noto Sans CJK SC" w:cs="Noto Sans CJK SC"/>
          <w:b w:val="0"/>
          <w:color w:val="637486"/>
          <w:sz w:val="18"/>
        </w:rPr>
        <w:t>图1  各split内部类别比例。条形长度表示比例，不是患者数量或模型表现。[E03]</w:t>
      </w:r>
    </w:p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sz w:val="21"/>
        </w:rPr>
        <w:t>训练与验证的类别构成接近，测试构成有变化。例如，标签0脂肪在测试中比例较大，标签2碎屑较小。由此支持在Accuracy之外报告Macro-F1和逐类指标，但不能仅凭比例变化推断模型会错在哪里。</w:t>
      </w:r>
    </w:p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sz w:val="21"/>
        </w:rPr>
        <w:t>项目未增加类别权重或过采样，实际训练仍为普通交叉熵。选择Macro-F1是评价层面的等权类别汇总，并不会改变每批图像分布。课程材料提及类别不平衡处理，本文如实说明实际策略与未实施的替代方法，不将其包装成已经完成重采样。[E01、E05–E06]</w:t>
      </w:r>
    </w:p>
    <w:p>
      <w:r>
        <w:br w:type="page"/>
      </w:r>
    </w:p>
    <w:p>
      <w:pPr>
        <w:pStyle w:val="Heading1"/>
        <w:spacing w:before="140" w:after="120"/>
      </w:pPr>
      <w:r>
        <w:rPr>
          <w:rFonts w:ascii="Noto Sans CJK SC" w:hAnsi="Noto Sans CJK SC" w:eastAsia="Noto Sans CJK SC" w:cs="Noto Sans CJK SC"/>
          <w:b w:val="0"/>
          <w:color w:val="064C91"/>
          <w:sz w:val="32"/>
        </w:rPr>
        <w:t>4  样例与预处理说明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2834640" cy="2834640"/>
            <wp:docPr id="2" name="Picture 2" descr="图2  九类训练样例。标签0—8分别对应train:0、14、9、6、1、3、44、2、5；这些示例不是九名患者。[E03]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examp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 w:line="269" w:lineRule="auto"/>
      </w:pPr>
      <w:r>
        <w:rPr>
          <w:rFonts w:ascii="Noto Sans CJK SC" w:hAnsi="Noto Sans CJK SC" w:eastAsia="Noto Sans CJK SC" w:cs="Noto Sans CJK SC"/>
          <w:b w:val="0"/>
          <w:color w:val="637486"/>
          <w:sz w:val="18"/>
        </w:rPr>
        <w:t>图2  九类训练样例。标签0—8分别对应train:0、14、9、6、1、3、44、2、5；这些示例不是九名患者。[E03]</w:t>
      </w:r>
    </w:p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sz w:val="21"/>
        </w:rPr>
        <w:t>样例图只帮助理解输入的外观和标签命名，没有由模型产生新的病理图像，也没有经过专家重新标注。图块中可能包含不同组织成分，本文只沿用数据集给定类别，不凭展示图像改标签或解释疾病进展。</w:t>
      </w:r>
    </w:p>
    <w:p>
      <w:pPr>
        <w:pStyle w:val="Heading2"/>
        <w:spacing w:before="140" w:after="120"/>
      </w:pPr>
      <w:r>
        <w:rPr>
          <w:rFonts w:ascii="Noto Sans CJK SC" w:hAnsi="Noto Sans CJK SC" w:eastAsia="Noto Sans CJK SC" w:cs="Noto Sans CJK SC"/>
          <w:b w:val="0"/>
          <w:color w:val="064C91"/>
          <w:sz w:val="25"/>
        </w:rPr>
        <w:t>实际预处理顺序</w:t>
      </w:r>
    </w:p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sz w:val="21"/>
        </w:rPr>
        <w:t>先按运行size将图像缩放至64×64或128×128。训练增强开启时，随后随机水平翻转、垂直翻转和90°整数倍旋转；然后ToTensor将图像变为通道优先张量并缩放数值，最后用固定ImageNet均值和标准差归一化。验证和测试关闭随机增强。[E03]</w:t>
      </w:r>
    </w:p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sz w:val="21"/>
        </w:rPr>
        <w:t>单图：H×W×3 uint8 → 3×H×W float张量</w:t>
      </w:r>
    </w:p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sz w:val="21"/>
        </w:rPr>
        <w:t>批量：N张 → N×3×H×W；标签：N个0—8整数</w:t>
      </w:r>
    </w:p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sz w:val="21"/>
        </w:rPr>
        <w:t>H=W=64或128；N是本批图像数量。D组完整批量N=128，末批可更小。标签另交给训练损失或评价函数，并不拼进图像。固定数值归一化没有学习患者信息，也不是染色域适配。</w:t>
      </w:r>
    </w:p>
    <w:p>
      <w:r>
        <w:br w:type="page"/>
      </w:r>
    </w:p>
    <w:p>
      <w:pPr>
        <w:pStyle w:val="Heading1"/>
        <w:spacing w:before="140" w:after="120"/>
      </w:pPr>
      <w:r>
        <w:rPr>
          <w:rFonts w:ascii="Noto Sans CJK SC" w:hAnsi="Noto Sans CJK SC" w:eastAsia="Noto Sans CJK SC" w:cs="Noto Sans CJK SC"/>
          <w:b w:val="0"/>
          <w:color w:val="064C91"/>
          <w:sz w:val="32"/>
        </w:rPr>
        <w:t>5  完整性与近重复审计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1"/>
        <w:gridCol w:w="3690"/>
        <w:gridCol w:w="3690"/>
      </w:tblGrid>
      <w:tr>
        <w:trPr>
          <w:cantSplit/>
          <w:tblHeader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历史检查结果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仍不能推出的结论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文件与数组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MD5及六个数组/索引SHA记录；形状、标签、计数通过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不能由文件完整性证明病理标签全无噪声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精确跨集合重复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完全像素一致0对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不能排除变换图、相邻图块或同患者关联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开发集候选筛查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9,032哈希候选对；849满足像素阈值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不能称849次患者泄漏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涉及图像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91个不同验证索引：背景80、碎屑2、平滑肌9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一个验证图可匹配多个训练图，候选对数不能当图像数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排除敏感性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B/D六次候选内均无误判；F1均值变化&lt;0.000003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不足以直接解释高分，不证明不存在未检出的关联</w:t>
            </w:r>
          </w:p>
        </w:tc>
      </w:tr>
    </w:tbl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sz w:val="21"/>
        </w:rPr>
        <w:t>候选方法使用8×8灰度平均哈希及汉明距离，再考虑四种旋转及翻转对齐，对块均差和完整像素差筛选。初版对齐方向选择不充分，修订并重跑后采用最终结果。筛查可能漏掉平移、裁剪、染色差异和更远的来源关联，因此没有凭启发式阈值自动删除或移动官方样本。[E11]</w:t>
      </w:r>
    </w:p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sz w:val="21"/>
        </w:rPr>
        <w:t>最相近的一对对齐后像素均差约0.2077/255，RGB通道值97.89%一致，但官方图像名不同。独立图像名只说明映射没有指向同一名称，不是切片或患者隔离证明。来源映射抽查保留了具体split/index，不将名称重新编码为患者ID。</w:t>
      </w:r>
    </w:p>
    <w:p>
      <w:pPr>
        <w:pStyle w:val="Heading2"/>
        <w:spacing w:before="140" w:after="120"/>
      </w:pPr>
      <w:r>
        <w:rPr>
          <w:rFonts w:ascii="Noto Sans CJK SC" w:hAnsi="Noto Sans CJK SC" w:eastAsia="Noto Sans CJK SC" w:cs="Noto Sans CJK SC"/>
          <w:b w:val="0"/>
          <w:color w:val="064C91"/>
          <w:sz w:val="25"/>
        </w:rPr>
        <w:t>审计结论</w:t>
      </w:r>
    </w:p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sz w:val="21"/>
        </w:rPr>
        <w:t>在所检查的工程层面，没有发现训练/验证数组混用、随机增强进入验证、评估模式错误、标签错位或指标误算。近似候选不足以直接解释整体高分，但完整患者级独立性仍未获得。保持官方划分，并将验证与另一中心测试分别报告，是当前资料支持的处理方式。</w:t>
      </w:r>
    </w:p>
    <w:p>
      <w:r>
        <w:br w:type="page"/>
      </w:r>
    </w:p>
    <w:p>
      <w:pPr>
        <w:pStyle w:val="Heading1"/>
        <w:spacing w:before="140" w:after="120"/>
      </w:pPr>
      <w:r>
        <w:rPr>
          <w:rFonts w:ascii="Noto Sans CJK SC" w:hAnsi="Noto Sans CJK SC" w:eastAsia="Noto Sans CJK SC" w:cs="Noto Sans CJK SC"/>
          <w:b w:val="0"/>
          <w:color w:val="064C91"/>
          <w:sz w:val="32"/>
        </w:rPr>
        <w:t>6  数据产物与报告引用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1"/>
        <w:gridCol w:w="4920"/>
      </w:tblGrid>
      <w:tr>
        <w:trPr>
          <w:cantSplit/>
          <w:tblHeader/>
        </w:trPr>
        <w:tc>
          <w:tcPr>
            <w:tcW w:type="dxa" w:w="454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文件 / 目录</w:t>
            </w:r>
          </w:p>
        </w:tc>
        <w:tc>
          <w:tcPr>
            <w:tcW w:type="dxa" w:w="492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供什么问题追溯</w:t>
            </w:r>
          </w:p>
        </w:tc>
      </w:tr>
      <w:tr>
        <w:trPr>
          <w:cantSplit/>
        </w:trPr>
        <w:tc>
          <w:tcPr>
            <w:tcW w:type="dxa" w:w="454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stage1/manifest.json</w:t>
            </w:r>
          </w:p>
        </w:tc>
        <w:tc>
          <w:tcPr>
            <w:tcW w:type="dxa" w:w="492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数据身份、原始和有效计数、索引校验与限制</w:t>
            </w:r>
          </w:p>
        </w:tc>
      </w:tr>
      <w:tr>
        <w:trPr>
          <w:cantSplit/>
        </w:trPr>
        <w:tc>
          <w:tcPr>
            <w:tcW w:type="dxa" w:w="454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stage1/class_counts.csv</w:t>
            </w:r>
          </w:p>
        </w:tc>
        <w:tc>
          <w:tcPr>
            <w:tcW w:type="dxa" w:w="492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九类数量及比例</w:t>
            </w:r>
          </w:p>
        </w:tc>
      </w:tr>
      <w:tr>
        <w:trPr>
          <w:cantSplit/>
        </w:trPr>
        <w:tc>
          <w:tcPr>
            <w:tcW w:type="dxa" w:w="454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stage1/sample_provenance.json</w:t>
            </w:r>
          </w:p>
        </w:tc>
        <w:tc>
          <w:tcPr>
            <w:tcW w:type="dxa" w:w="492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样例图的split/index来源</w:t>
            </w:r>
          </w:p>
        </w:tc>
      </w:tr>
      <w:tr>
        <w:trPr>
          <w:cantSplit/>
        </w:trPr>
        <w:tc>
          <w:tcPr>
            <w:tcW w:type="dxa" w:w="454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stage1/cross_split_duplicates.csv</w:t>
            </w:r>
          </w:p>
        </w:tc>
        <w:tc>
          <w:tcPr>
            <w:tcW w:type="dxa" w:w="492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精确跨集合重复处理明细；当前为空记录</w:t>
            </w:r>
          </w:p>
        </w:tc>
      </w:tr>
      <w:tr>
        <w:trPr>
          <w:cantSplit/>
        </w:trPr>
        <w:tc>
          <w:tcPr>
            <w:tcW w:type="dxa" w:w="454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pathmnist_project/data.py</w:t>
            </w:r>
          </w:p>
        </w:tc>
        <w:tc>
          <w:tcPr>
            <w:tcW w:type="dxa" w:w="492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下载、解析、只读读取、预处理与增强限制</w:t>
            </w:r>
          </w:p>
        </w:tc>
      </w:tr>
      <w:tr>
        <w:trPr>
          <w:cantSplit/>
        </w:trPr>
        <w:tc>
          <w:tcPr>
            <w:tcW w:type="dxa" w:w="454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stage4/audit/高验证分数来源审计.md</w:t>
            </w:r>
          </w:p>
        </w:tc>
        <w:tc>
          <w:tcPr>
            <w:tcW w:type="dxa" w:w="492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数据/评估管线及候选方法说明</w:t>
            </w:r>
          </w:p>
        </w:tc>
      </w:tr>
      <w:tr>
        <w:trPr>
          <w:cantSplit/>
        </w:trPr>
        <w:tc>
          <w:tcPr>
            <w:tcW w:type="dxa" w:w="454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stage4/audit/near_duplicate_scan.json</w:t>
            </w:r>
          </w:p>
        </w:tc>
        <w:tc>
          <w:tcPr>
            <w:tcW w:type="dxa" w:w="492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候选计数、图像索引和像素阈值结果</w:t>
            </w:r>
          </w:p>
        </w:tc>
      </w:tr>
      <w:tr>
        <w:trPr>
          <w:cantSplit/>
        </w:trPr>
        <w:tc>
          <w:tcPr>
            <w:tcW w:type="dxa" w:w="454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stage4/audit/candidate_sensitivity.json</w:t>
            </w:r>
          </w:p>
        </w:tc>
        <w:tc>
          <w:tcPr>
            <w:tcW w:type="dxa" w:w="492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排除候选后的保存概率复算</w:t>
            </w:r>
          </w:p>
        </w:tc>
      </w:tr>
      <w:tr>
        <w:trPr>
          <w:cantSplit/>
        </w:trPr>
        <w:tc>
          <w:tcPr>
            <w:tcW w:type="dxa" w:w="454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data/release_manifest.json</w:t>
            </w:r>
          </w:p>
        </w:tc>
        <w:tc>
          <w:tcPr>
            <w:tcW w:type="dxa" w:w="492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资料包保存的既有私有数据Release入口</w:t>
            </w:r>
          </w:p>
        </w:tc>
      </w:tr>
    </w:tbl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sz w:val="21"/>
        </w:rPr>
        <w:t>上表是数据来源与探索的归档入口，不是要求重新运行准备或删除样本。全部路径按固定项目根理解；新版交付位置另见资料导航快照。正文中的[E编号]沿用技术评估附件的原证据索引；对应文件已在本提交的来源快照中整理。</w:t>
      </w:r>
    </w:p>
    <w:p>
      <w:pPr>
        <w:pStyle w:val="Heading2"/>
        <w:spacing w:before="140" w:after="120"/>
      </w:pPr>
      <w:r>
        <w:rPr>
          <w:rFonts w:ascii="Noto Sans CJK SC" w:hAnsi="Noto Sans CJK SC" w:eastAsia="Noto Sans CJK SC" w:cs="Noto Sans CJK SC"/>
          <w:b w:val="0"/>
          <w:color w:val="064C91"/>
          <w:sz w:val="25"/>
        </w:rPr>
        <w:t>本次交付的范围</w:t>
      </w:r>
    </w:p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sz w:val="21"/>
        </w:rPr>
        <w:t>本笔记作为AI工程实践主报告的数据附件：它单独呈现课程要求中的“数据集探索”，不冒充患者队列研究或临床数据清洗。真实组员、学号、个人贡献待小组填写。项目已决定不补K折和QAT；未做K折仍作为事实记录，不推断教师已经豁免。</w:t>
      </w:r>
    </w:p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sz w:val="21"/>
        </w:rPr>
        <w:t>整理采用用户新增资料包、旧v2包和PPT素材包中的现存图像与源表。本轮只进行文档编排、文件和简单数值检查，没有模型推理、完整NPZ重审或新统计显著性试验。</w:t>
      </w:r>
    </w:p>
    <w:p>
      <w:r>
        <w:br w:type="page"/>
      </w:r>
    </w:p>
    <w:p>
      <w:pPr>
        <w:pStyle w:val="Heading1"/>
        <w:spacing w:before="140" w:after="120"/>
      </w:pPr>
      <w:r>
        <w:rPr>
          <w:rFonts w:ascii="Noto Sans CJK SC" w:hAnsi="Noto Sans CJK SC" w:eastAsia="Noto Sans CJK SC" w:cs="Noto Sans CJK SC"/>
          <w:b w:val="0"/>
          <w:color w:val="064C91"/>
          <w:sz w:val="32"/>
        </w:rPr>
        <w:t>数据集选择中的AI交互与核查分工</w:t>
      </w:r>
    </w:p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sz w:val="21"/>
        </w:rPr>
        <w:t>本页新增的是历史过程的归纳，不是重新选择数据集或重新下载数据。用户先确定医学图像方向，助手推荐PathMNIST；随后以课程条目、官方来源、数据结构和任务规模核对适用性。没有多数据集效果海选记录，不补写虚构筛选分数。[S01–S04]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92"/>
        <w:gridCol w:w="2554"/>
        <w:gridCol w:w="2554"/>
        <w:gridCol w:w="2460"/>
      </w:tblGrid>
      <w:tr>
        <w:trPr>
          <w:cantSplit/>
          <w:tblHeader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环节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任务输入与AI产物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核验方法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人的约束／仍需确认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选择方向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医学图像方向；AI说明PathMNIST九分类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对照课程MedMNIST条目和已归档来源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用户确认任务；不冒充新病理诊断数据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下载与整理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在指定服务器目录建立数据清单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MD5、数组、标签和索引检查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只操作本人目录，不下载完整数据到本机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数据探索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生成九类样例和分布图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源计数、样例索引、图表检查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AI目视检查不是专家重新标注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高分质询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近重复候选与敏感性统计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启发式相似度、已有概率复算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不把候选定性为患者泄漏，不自动删样本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报告解释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AI整理来源与边界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对照数据包实际字段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无患者ID，不能把索引写成患者分组</w:t>
            </w:r>
          </w:p>
        </w:tc>
      </w:tr>
    </w:tbl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sz w:val="21"/>
        </w:rPr>
        <w:t>数据清单解决“后续使用的是否同一份数据”，来源说明解决“数据是什么及能回答什么”。这两类核对互相补充，不能用哈希正确代替医学或患者层面的判断。</w:t>
      </w:r>
    </w:p>
    <w:p>
      <w:pPr>
        <w:spacing w:after="100" w:line="283" w:lineRule="auto"/>
      </w:pPr>
      <w:r>
        <w:rPr>
          <w:rFonts w:ascii="Noto Serif CJK SC" w:hAnsi="Noto Serif CJK SC" w:eastAsia="Noto Serif CJK SC" w:cs="Noto Serif CJK SC"/>
          <w:b w:val="0"/>
          <w:sz w:val="21"/>
        </w:rPr>
        <w:t>当前没有重新运行完整NPZ审计；以上通过情况均引用历史证据。具体代码见technical/source_snapshot/pathmnist_project/data.py，阶段原件见evidence/source/stage1与stage4/audit。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1049" w:left="1191" w:header="397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SC" w:hAnsi="Noto Sans CJK SC" w:eastAsia="Noto Sans CJK SC" w:cs="Noto Sans CJK SC"/>
        <w:b w:val="0"/>
        <w:color w:val="637486"/>
        <w:sz w:val="16"/>
      </w:rPr>
      <w:t xml:space="preserve">科学证据 d5e4a71 · 提交材料 v1   |   </w:t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5" w:color="D5E1ED"/>
      </w:pBdr>
    </w:pPr>
    <w:r>
      <w:rPr>
        <w:rFonts w:ascii="Noto Sans CJK SC" w:hAnsi="Noto Sans CJK SC" w:eastAsia="Noto Sans CJK SC" w:cs="Noto Sans CJK SC"/>
        <w:b w:val="0"/>
        <w:color w:val="637486"/>
        <w:sz w:val="17"/>
      </w:rPr>
      <w:t>PathMNIST · AI工程实践  |  数据集探索笔记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2" w:lineRule="auto" w:after="140"/>
    </w:pPr>
    <w:rPr>
      <w:rFonts w:ascii="Noto Serif CJK SC" w:hAnsi="Noto Serif CJK SC" w:eastAsia="Noto Serif CJK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8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64C9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8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64C9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8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64C9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80" w:line="240" w:lineRule="auto" w:before="200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064C91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40" w:line="302" w:lineRule="auto"/>
    </w:pPr>
    <w:rPr>
      <w:rFonts w:ascii="Noto Serif CJK SC" w:hAnsi="Noto Serif CJK SC" w:eastAsia="Noto Serif CJK SC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数据集探索笔记</dc:title>
  <dc:subject>PathMNIST课程第一阶段；AI实践导向提交材料v1</dc:subject>
  <dc:creator>PathMNIST课程小组（ChatGPT辅助编排）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