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color w:val="637486"/>
          <w:sz w:val="20"/>
        </w:rPr>
        <w:t>AI工程实践 · 交互与核验附件</w:t>
      </w:r>
    </w:p>
    <w:p>
      <w:pPr>
        <w:pStyle w:val="Heading1"/>
        <w:spacing w:before="360" w:after="320"/>
      </w:pPr>
      <w:r>
        <w:rPr>
          <w:rFonts w:ascii="Noto Sans CJK SC" w:hAnsi="Noto Sans CJK SC" w:eastAsia="Noto Sans CJK SC" w:cs="Noto Sans CJK SC"/>
          <w:b w:val="0"/>
          <w:color w:val="064C91"/>
          <w:sz w:val="50"/>
        </w:rPr>
        <w:t>AI使用日志与交互案例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本附件以保存的阶段AI日志、原始提示、源码审阅和验收记录为依据，说明人怎样把任务交给AI，怎样处理其输出，以及哪些内容未被采纳。它不是完整聊天逐字导出，也不补画不存在的聊天截图。原件均保留在evidence/source；文中S编号见reference/来源编号与阅读索引.md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1 记录分类与使用原则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标记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使用方式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原话节选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能在保存的日志／当前对话中定位的文字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使用引号或引用块，注明来源，不伪装成整段完整会话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日志摘要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根据阶段记录整理的任务与响应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不加“原始提示词”标签，不推测未记录上下文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源码事实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从指定代码或配置直接可见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说明文件和作用，不等于新运行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历史实测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原命令、日志、指标或设备验收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保留时间和环境范围，不称本轮复跑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本轮整理／新增检查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当前文稿、目录与静态校验工具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与历史模型成果分开；云端执行需真实记录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实际工具角色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ChatGPT参与对话、方案讨论、交接、材料解释和提交组织；Codex承担大部分仓库、终端、训练与验证实现；DeepSeek网页仅有第六阶段风险审查及草稿记录。项目未使用Claude Code。不同AI的相互审查不是自动的独立实验认证。[S02、S08、S13–S14]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当前连接不具备创建Codex会话或GitHub写入动作；因此本轮没有“自动创建Codex任务成功”的记录。后续需用户在有权限的工作区启动一次交接，具体任务与文件已准备。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2 从选题到交付的阶段日志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2554"/>
        <w:gridCol w:w="2554"/>
        <w:gridCol w:w="2460"/>
      </w:tblGrid>
      <w:tr>
        <w:trPr>
          <w:cantSplit/>
          <w:tblHeader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输入任务与约束（摘要）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AI产物及执行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核查／取舍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选题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医学图像方向；子集由助手推荐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PathMNIST任务、数据与对照建议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未记录多数据集性能海选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数据环境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只在本人服务器目录；不在本机下载完整数据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环境、数据下载、manifest、分布图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MD5与数组检查；患者ID限制保留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流程基线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分阶段开展，每阶段留汇报证据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smoke、probe、run-one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先小后大；共同batch128可用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A—D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同一协议继续剩余主实验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11次新轨迹及既有基线；逐图复核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三种子不是三折；未打开正式测试分数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审计扩展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查高验证分数；完成E；恢复原型独立开发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候选审计、三条E、resume_v2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不自动删近同样本；不扩满建议训练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冻结测试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锁定后评价；不覆写既有证据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D_seed2026选择、15条统一测试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E更高也不倒改本轮选择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量化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冻结后仅train校准、val验收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DeepSeek草稿、Codex PTQ与图表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原两版失败记录保留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第七阶段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不重训、不重开测试、独立演示与补证据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原CSV复制核验、CLI/UI、有限PTQ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候选通过精度门槛仍更慢，默认FP32</w:t>
            </w:r>
          </w:p>
        </w:tc>
      </w:tr>
      <w:tr>
        <w:trPr>
          <w:cantSplit/>
        </w:trPr>
        <w:tc>
          <w:tcPr>
            <w:tcW w:type="dxa" w:w="1892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当前提交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AI实践为主，原仓库不动，新仓库独立</w:t>
            </w:r>
          </w:p>
        </w:tc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新主报告、附件、同步PPT、提交目录</w:t>
            </w:r>
          </w:p>
        </w:tc>
        <w:tc>
          <w:tcPr>
            <w:tcW w:type="dxa" w:w="246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云端创建与CI尚待执行，不回写历史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以上是工作流摘要，不把所有代码生成和执行归为同一次提示。主要来源：S02、S05–S10、S13–S14、S20。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阶段衔接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阶段总结不是单纯“完成百分比”，而应说明产物路径、核验结果、未决问题与下一步是否得到批准。用户多次提出范围和不覆盖约束，Codex再依据当前源码与产物落实；由此把聊天中的意图保存在项目文件中。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3 案例一：把方向描述变成明确任务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原话与摘要分开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阶段日志保存的用户原话节选：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可以，进行下一阶段的任务了，要在每一阶段做好记录，最终目的都是为了最后的汇报和报告。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来源：docs/AI使用日志.md，第二阶段条目。[S02]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“选择医学图像方向，将具体子集交由助手推荐”属于同一日志中的人工决策摘要；它不是本附件重新取得的一段完整原始聊天。此处不用虚构的聊天气泡展示。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AI如何拆解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任务从领域方向细化为PathMNIST数据、九类标签、官方划分、模型与尺寸比较、D/E消融、种子、训练设置、评价指标和冻结规则。相应产物是方法协议、matrix、manifest、代码及阶段文档。配置形成经历多轮推进，不应声称“一句提示自动生成最终全部设计”。[S02–S06]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原始约束的工程作用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6906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落到文件或执行上的作用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只使用本人项目目录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环境、下载缓存和运行输出限定在约定项目范围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不把完整数据下载到本机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大数据与权重留在服务器，轻量证据另行复制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每阶段保留记录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保存命令、日志、配置、来源标识与图表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先检查再扩大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小样本测试不能省略，也不能将其分数并入正式实验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后来当用户允许数据在服务器下载或调整运行范围时，记录注明了授权变化，没有把最初限制当成永远不变，也没有无依据推断新的授权。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可以从这个案例学到什么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有效交互不仅包含目标，还应给出上下文、边界和验收方式。字段如何固定、图像尺寸如何选择仍需要在后续实现中检查；任务文档不是正确性的替代品。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4 案例二：ChatGPT建议由Codex回到源码核对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日期与性质：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2026-09-23；方案评审，不是新增实验启动。用户把ChatGPT对话中的PATHMNIST_EXPERIMENT_V2.md与CODEX_START_HERE.md交给Codex，并要求判断建议是否适用。原建议正文在本附件中不重建，仅引用已归档审阅表。[S08]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对话中的建议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源码／协议核对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采纳状态与证据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需要补自动早停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已有验证Macro-F1早停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否决“缺失”判断，不重复实现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需要完整断点恢复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best.pt缺优化器、调度器、随机状态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采纳，但在独立resume_v2目录实现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40轮直接续到200轮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T_max变更影响学习率轨迹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不当原训练延续；未默认启动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更多轨迹与新的增强消融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建议参照不等于原E组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先完成原协议，不照搬建议预算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高分值得核查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数据与代码审计具有实际价值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采纳只读审计，保留患者ID限制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实际恢复原型有本地合成检查及历史GPU短轨迹验收；连续4轮与2+2恢复的24项状态比较一致。它不构成第四个种子或新的正式模型结果。[S09]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对协作的影响。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ChatGPT可以帮助提出结构化方案，但执行代理必须掌握当前代码状态；Codex的核对也要留下依据。这个案例避免了把另一对话的假设直接转成大量新增训练。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未确认个人归属。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日志记有用户提出审阅任务、Codex完成审阅与实现；没有署名证据的逐行人工审核，不归给具体组员。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5 案例三：DeepSeek审查和草稿的选择性采用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日期：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2026-09-28。实际界面为DeepSeek网页。输入为公开方法概述，不上传完整源码、原图、逐图预测、服务器地址或凭据。[S13]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原始提示节选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请给出：1）按严重性排序的最多6个实施或解释风险及相应验收办法；2）一段不超过50行的Python函数，接收相同顺序的y_true、FP32九类概率数组和INT8九类概率数组，验证形状/有限值/概率和……请只依据上述公开方法信息回答，不假设你已运行该项目。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省略处仅为缩短显示，完整原话见原记录。函数接口、数据角色与不使用测试集调参等条件也在原提示中说明。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反馈与处理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DeepSeek提出校准和验收集分工、S8S8数值风险、计时可比性、概率接口、校准采样偏差和逐类退化等风险。指标草稿存在输入检查不完整：0—8标签、非负概率、非空样本和固定九类labels未完整约束。该函数未进入正式指标管线，沿用已有classification_metrics。[S13]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第二次提示请求从comparison.json生成对比图，不访问网络和原图。草稿经过协议、非法数值、P95、文字位置及字体修订后，先用合成JSON验收。合成数据图不用于正式结果，正式图来源为真实量化汇总。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结论。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AI草稿可以被拒绝；两个不同工具参与，不等于自动获得两份实测证据。“人工修订”没有具体署名的部分保持待确认，不写成某位组员完全独立实现。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6 案例四：复核脚本失败，只修复核验链条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第五阶段模型已经产生正式测试预测，独立复核程序首次读取混淆矩阵时，将JSON列表误当对象，导致程序停止。修复的是读取类型，再重新运行复核脚本；正式测试预测没有重跑或修改。[S10]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6906"/>
      </w:tblGrid>
      <w:tr>
        <w:trPr>
          <w:cantSplit/>
          <w:tblHeader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需要区分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此次实际对象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原始实验产物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冻结模型已生成的测试预测与指标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出错程序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读取和比较这些产物的独立复核脚本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修复范围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JSON类型处理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重跑范围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复核脚本，而非模型训练或测试预测</w:t>
            </w:r>
          </w:p>
        </w:tc>
      </w:tr>
      <w:tr>
        <w:trPr>
          <w:cantSplit/>
        </w:trPr>
        <w:tc>
          <w:tcPr>
            <w:tcW w:type="dxa" w:w="255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最终证据</w:t>
            </w:r>
          </w:p>
        </w:tc>
        <w:tc>
          <w:tcPr>
            <w:tcW w:type="dxa" w:w="6906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修复后的核查记录与原结果来源仍一致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如果因为核验程序报错就重新生成测试预测，既不能直接解决类型问题，还可能覆盖原证据。保留失败和控制修复范围，是Harness在真实工程中的具体作用，而不是要求系统永远不出错。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关联案例：演示路径与文件保护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第七阶段把依赖原服务器路径的演示整理为独立CLI/UI，默认FP32，检查模型SHA、标签、布局与预处理，限制路径越界，输出使用拒绝覆盖的方式。已有搬迁目录、断网与异常输入记录，但不等于当前新教师目录已经包含模型、样例或完成运行。[S17–S18、S21]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7 案例五：量化诊断、重试与证据边界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/>
          <w:sz w:val="22"/>
        </w:rPr>
        <w:t>任务摘要。</w:t>
      </w:r>
      <w:r>
        <w:rPr>
          <w:rFonts w:ascii="Noto Serif CJK SC" w:hAnsi="Noto Serif CJK SC" w:eastAsia="Noto Serif CJK SC" w:cs="Noto Serif CJK SC"/>
          <w:b w:val="0"/>
          <w:sz w:val="22"/>
        </w:rPr>
        <w:t xml:space="preserve"> 第七阶段要求限时、只用train/val诊断，若有明确线索才有限追加PTQ，不打开官方测试，不自动QAT。[S14–S15]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问题与修复顺序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3690"/>
        <w:gridCol w:w="3690"/>
      </w:tblGrid>
      <w:tr>
        <w:trPr>
          <w:cantSplit/>
          <w:tblHeader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处理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没有做的事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reader缺迭代接口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修订数据读取，保留失败退出码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不删除失败记录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uint8调试助手计算回绕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提升类型并用反量化对照复核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不认定其为实际ONNX推理失败根因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原量化分数严重下降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根据训练样例线索登记五Conv浮点候选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不用测试集挑量化参数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初次候选验收基线路径错误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对照候选SHA，修正路径后再核验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不将启动成功当完整验收成功</w:t>
            </w:r>
          </w:p>
        </w:tc>
      </w:tr>
      <w:tr>
        <w:trPr>
          <w:cantSplit/>
        </w:trPr>
        <w:tc>
          <w:tcPr>
            <w:tcW w:type="dxa" w:w="2081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候选精度恢复、速度仍慢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保存候选与各自基线，默认FP32</w:t>
            </w:r>
          </w:p>
        </w:tc>
        <w:tc>
          <w:tcPr>
            <w:tcW w:type="dxa" w:w="3690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20"/>
              </w:rPr>
              <w:t>不把压缩率改称加速率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历史记录区分18张独立诊断样例、576张训练校准样例与10,004张验证图像；含重试的验证处理张次不等于更多独立样本。完整验证F1为0.9956677882，现存记录为工程验收，未形成新外部测试。[S15–S16]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为什么保留失败也有报告价值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本案例允许看到输入接口、辅助工具、数据路径和性能目标四类问题；它们需要不同检查，不能统一称为“模型不够好”。本轮重新组织材料没有重新执行上述命令，历史验收和当前文稿检查分开。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b w:val="0"/>
          <w:color w:val="064C91"/>
          <w:sz w:val="34"/>
        </w:rPr>
        <w:t>8 Skill、复用与新提交阶段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8.1 实际记录与不能补造的内容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项目已存在的数据/训练CLI、审计脚本、resume_v2、portable_demo和打包逻辑，是可复用的工程能力。当前没有专用local/global Skill名称、配置作用域与调用记录的完整证据，因此不列为项目历史已使用的正式Skill包。[S02、S14]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对本轮文稿制作而言，使用的文档／PPT渲染工具和本地文件检查属于当前整理行为，不倒写成训练期的Codex Skill。将来新增Skill，应记录名称、版本、作用域、触发任务与实际输出，而非仅截图“已安装”。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8.2 新教师仓库的边界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用户已确认原科学仓库保持不变，新建独立私有提交仓库。本轮已准备源码与必要证据快照、新报告和PPT、核查脚本及CI配置；没有接口可直接建立Codex对话或写入GitHub。云端仓库、Release、CI和教师访问状态仍待执行，见S21。没有把“生成workflow YAML”写成“GitHub Actions通过”。[S20–S21]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8.3 个人贡献待填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4"/>
        <w:gridCol w:w="1325"/>
        <w:gridCol w:w="2365"/>
        <w:gridCol w:w="2744"/>
        <w:gridCol w:w="1514"/>
      </w:tblGrid>
      <w:tr>
        <w:trPr>
          <w:cantSplit/>
          <w:tblHeader/>
        </w:trPr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132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学号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实际做过的任务</w:t>
            </w:r>
          </w:p>
        </w:tc>
        <w:tc>
          <w:tcPr>
            <w:tcW w:type="dxa" w:w="274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可定位文件／交互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064C91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本人确认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王张文皓</w:t>
            </w:r>
          </w:p>
        </w:tc>
        <w:tc>
          <w:tcPr>
            <w:tcW w:type="dxa" w:w="132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待填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待按真实参与填写</w:t>
            </w:r>
          </w:p>
        </w:tc>
        <w:tc>
          <w:tcPr>
            <w:tcW w:type="dxa" w:w="274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待填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赵昱淳</w:t>
            </w:r>
          </w:p>
        </w:tc>
        <w:tc>
          <w:tcPr>
            <w:tcW w:type="dxa" w:w="132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待填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待按真实参与填写</w:t>
            </w:r>
          </w:p>
        </w:tc>
        <w:tc>
          <w:tcPr>
            <w:tcW w:type="dxa" w:w="274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待填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李以祺</w:t>
            </w:r>
          </w:p>
        </w:tc>
        <w:tc>
          <w:tcPr>
            <w:tcW w:type="dxa" w:w="132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待填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待按真实参与填写</w:t>
            </w:r>
          </w:p>
        </w:tc>
        <w:tc>
          <w:tcPr>
            <w:tcW w:type="dxa" w:w="274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待填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EFF4FA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待确认</w:t>
            </w:r>
          </w:p>
        </w:tc>
      </w:tr>
      <w:tr>
        <w:trPr>
          <w:cantSplit/>
        </w:trPr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朱逸枫</w:t>
            </w:r>
          </w:p>
        </w:tc>
        <w:tc>
          <w:tcPr>
            <w:tcW w:type="dxa" w:w="132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待填</w:t>
            </w:r>
          </w:p>
        </w:tc>
        <w:tc>
          <w:tcPr>
            <w:tcW w:type="dxa" w:w="2365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待按真实参与填写</w:t>
            </w:r>
          </w:p>
        </w:tc>
        <w:tc>
          <w:tcPr>
            <w:tcW w:type="dxa" w:w="274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待填</w:t>
            </w:r>
          </w:p>
        </w:tc>
        <w:tc>
          <w:tcPr>
            <w:tcW w:type="dxa" w:w="1514"/>
            <w:vAlign w:val="center"/>
            <w:tcMar>
              <w:top w:w="72" w:type="dxa"/>
              <w:bottom w:w="72" w:type="dxa"/>
              <w:left w:w="85" w:type="dxa"/>
              <w:right w:w="85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9"/>
              </w:rPr>
              <w:t>待确认</w:t>
            </w:r>
          </w:p>
        </w:tc>
      </w:tr>
    </w:tbl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姓名来自用户上传PPT，不能据角色表自动推测各成员完成了数据处理或程序开发。没有完整工时／token基线，不报告虚构的节省数值。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 w:val="0"/>
          <w:color w:val="064C91"/>
          <w:sz w:val="26"/>
        </w:rPr>
        <w:t>原件与来源</w:t>
      </w:r>
    </w:p>
    <w:p>
      <w:pPr>
        <w:spacing w:after="140" w:line="302" w:lineRule="auto"/>
      </w:pPr>
      <w:r>
        <w:rPr>
          <w:rFonts w:ascii="Noto Serif CJK SC" w:hAnsi="Noto Serif CJK SC" w:eastAsia="Noto Serif CJK SC" w:cs="Noto Serif CJK SC"/>
          <w:b w:val="0"/>
          <w:sz w:val="22"/>
        </w:rPr>
        <w:t>主要原件：docs/AI使用日志.md；docs/实验升级方案审阅记录.md；stage4/续训工程验收记录.md；stage5/第五阶段执行记录.md；stage6/DeepSeek量化审查记录.md；stage7/AI使用日志.md、执行记录.md、quantization_diagnosis.md。复制路径及SHA见evidence/source_provenance.json；本轮决定见ai_workflow/decisions/本轮用户决定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49" w:left="1191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637486"/>
        <w:sz w:val="16"/>
      </w:rPr>
      <w:t xml:space="preserve">科学证据 d5e4a71 · 提交材料 v1   |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5" w:color="D5E1ED"/>
      </w:pBdr>
    </w:pPr>
    <w:r>
      <w:rPr>
        <w:rFonts w:ascii="Noto Sans CJK SC" w:hAnsi="Noto Sans CJK SC" w:eastAsia="Noto Sans CJK SC" w:cs="Noto Sans CJK SC"/>
        <w:b w:val="0"/>
        <w:color w:val="637486"/>
        <w:sz w:val="17"/>
      </w:rPr>
      <w:t>PathMNIST · AI工程实践  |  AI使用日志与交互案例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2" w:lineRule="auto" w:after="14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64C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64C9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02" w:lineRule="auto"/>
    </w:pPr>
    <w:rPr>
      <w:rFonts w:ascii="Noto Serif CJK SC" w:hAnsi="Noto Serif CJK SC" w:eastAsia="Noto Serif CJK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AI使用日志与交互案例</dc:title>
  <dc:subject>PathMNIST课程第一阶段；AI实践导向提交材料v1</dc:subject>
  <dc:creator>PathMNIST课程小组（ChatGPT辅助编排）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