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color w:val="637486"/>
          <w:sz w:val="20"/>
        </w:rPr>
        <w:t>研究生工程实践 · PathMNIST · 第一阶段</w:t>
      </w:r>
    </w:p>
    <w:p>
      <w:pPr>
        <w:pStyle w:val="Heading1"/>
        <w:spacing w:before="360" w:after="320"/>
      </w:pPr>
      <w:r>
        <w:rPr>
          <w:rFonts w:ascii="Noto Sans CJK SC" w:hAnsi="Noto Sans CJK SC" w:eastAsia="Noto Sans CJK SC" w:cs="Noto Sans CJK SC"/>
          <w:b w:val="0"/>
          <w:color w:val="064C91"/>
          <w:sz w:val="50"/>
        </w:rPr>
        <w:t>数据集探索笔记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本笔记整理项目第一阶段的数据探索与第四阶段的关联候选审计。对象是已经发布的PathMNIST 128像素图像块，不含新增患者数据。本文的“核验通过”均指所引用阶段的历史记录；本轮不重新打开完整NPZ进行数据审计。[E03、E11]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25"/>
        </w:rPr>
        <w:t>1  数据来源和研究用途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使用官方pathmnist_128.npz（Zenodo 10519652），MD5为ac42d08fb904d92c244187169d1fd1d9。历史记录已核对完整文件，保留官方划分和样本顺序；本轮不重审NPZ或患者来源。[E02–E03]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PathMNIST是MedMNIST中的病理图像分类子集，输入为结直肠H&amp;E组织图像块，使用0—8九类标签。[E02、S03–S04]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开发来源为NCT-CRC-HE-100K；官方训练／验证为89,996／10,004张。另一中心CRC-VAL-HE-7K为7,180张测试集；VAL不是早停或选模使用的开发验证集。来源说明不替代患者级独立性的直接核验。[E02、S03–S04]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数据事实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原始图像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128×128×3，RGB，uint8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标签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整数0—8，对应九类组织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训练 / 验证 / 测试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89,996 / 10,004 / 7,180张图像块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任务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组织图像块多分类；非患者诊断 / 生存预测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来源分组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NPZ未提供患者和原始切片ID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实际尺寸对照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同一128图像直接使用，或缩小到64；不重新选样本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是否删除或移动样本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精确跨集合重复0对；没有因此删改官方划分</w:t>
            </w:r>
          </w:p>
        </w:tc>
      </w:tr>
    </w:tbl>
    <w:p>
      <w:pPr>
        <w:pStyle w:val="Heading2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25"/>
        </w:rPr>
        <w:t>2  数据清单如何固定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prepare流程将图像与标签数组写为可读取的文件，训练以只读内存映射读取图像，减少一次性加载整个数据集的需求。清单记录文件校验值、标签顺序、原始计数、有效索引、重复处理策略和数据标识；后续训练与冻结核对这些身份信息。映射读取是工程方法，不改变样本或标签。[E03]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固定manifest_id：ce844e66f5f346beccf155173d3de7ed7b161412f65dc6f5d67a347f2b40590b。原文件在服务器目录保存；新增交接资料同时记录既有私有GitHub数据Release。本文不将历史“只在服务器”当成最新存放状态。具体索引见本提交《教师阅读与运行入口》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32"/>
        </w:rPr>
        <w:t>3  九类分布与可视化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1"/>
        <w:gridCol w:w="1987"/>
        <w:gridCol w:w="1608"/>
        <w:gridCol w:w="1608"/>
        <w:gridCol w:w="1703"/>
        <w:gridCol w:w="1703"/>
      </w:tblGrid>
      <w:tr>
        <w:trPr>
          <w:cantSplit/>
          <w:tblHeader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ID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组织类别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训练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验证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测试比例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脂肪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9,366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1,041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1,338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18.64%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背景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9,509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1,057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847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11.80%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碎屑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10,360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1,152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339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4.72%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淋巴细胞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10,401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1,156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634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8.83%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黏液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8,006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890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1,035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14.42%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平滑肌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12,182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1,354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592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8.25%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6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正常结肠黏膜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7,886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877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741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10.32%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7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癌相关间质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9,401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1,045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421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5.86%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</w:t>
            </w:r>
          </w:p>
        </w:tc>
        <w:tc>
          <w:tcPr>
            <w:tcW w:type="dxa" w:w="1987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结直肠腺癌上皮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12,885</w:t>
            </w:r>
          </w:p>
        </w:tc>
        <w:tc>
          <w:tcPr>
            <w:tcW w:type="dxa" w:w="1608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1,432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1,233</w:t>
            </w:r>
          </w:p>
        </w:tc>
        <w:tc>
          <w:tcPr>
            <w:tcW w:type="dxa" w:w="1703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17.17%</w:t>
            </w:r>
          </w:p>
        </w:tc>
      </w:tr>
    </w:tbl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表1  源计数来自stage1/class_counts.csv；比例为计数/该split总数的透明算术。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78029" cy="2880360"/>
            <wp:docPr id="1" name="Picture 1" descr="图1  各split内部类别比例。条形长度表示比例，不是患者数量或模型表现。[E03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029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Noto Sans CJK SC" w:hAnsi="Noto Sans CJK SC" w:eastAsia="Noto Sans CJK SC" w:cs="Noto Sans CJK SC"/>
          <w:b w:val="0"/>
          <w:color w:val="637486"/>
          <w:sz w:val="18"/>
        </w:rPr>
        <w:t>图1  各split内部类别比例。条形长度表示比例，不是患者数量或模型表现。[E03]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训练与验证的类别构成接近，测试构成有变化。例如，标签0脂肪在测试中比例较大，标签2碎屑较小。由此支持在Accuracy之外报告Macro-F1和逐类指标，但不能仅凭比例变化推断模型会错在哪里。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项目未增加类别权重或过采样，实际训练仍为普通交叉熵。选择Macro-F1是评价层面的等权类别汇总，并不会改变每批图像分布。课程材料提及类别不平衡处理，本文如实说明实际策略与未实施的替代方法，不将其包装成已经完成重采样。[E01、E05–E06]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32"/>
        </w:rPr>
        <w:t>4  样例与预处理说明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2" name="Picture 2" descr="图2  九类训练样例。标签0—8分别对应train:0、14、9、6、1、3、44、2、5；这些示例不是九名患者。[E03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Noto Sans CJK SC" w:hAnsi="Noto Sans CJK SC" w:eastAsia="Noto Sans CJK SC" w:cs="Noto Sans CJK SC"/>
          <w:b w:val="0"/>
          <w:color w:val="637486"/>
          <w:sz w:val="18"/>
        </w:rPr>
        <w:t>图2  九类训练样例。标签0—8分别对应train:0、14、9、6、1、3、44、2、5；这些示例不是九名患者。[E03]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样例图只帮助理解输入的外观和标签命名，没有由模型产生新的病理图像，也没有经过专家重新标注。图块中可能包含不同组织成分，本文只沿用数据集给定类别，不凭展示图像改标签或解释疾病进展。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25"/>
        </w:rPr>
        <w:t>实际预处理顺序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先按运行size将图像缩放至64×64或128×128。训练增强开启时，随后随机水平翻转、垂直翻转和90°整数倍旋转；然后ToTensor将图像变为通道优先张量并缩放数值，最后用固定ImageNet均值和标准差归一化。验证和测试关闭随机增强。[E03]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单图：H×W×3 uint8 → 3×H×W float张量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批量：N张 → N×3×H×W；标签：N个0—8整数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H=W=64或128；N是本批图像数量。D组完整批量N=128，末批可更小。标签另交给训练损失或评价函数，并不拼进图像。固定数值归一化没有学习患者信息，也不是染色域适配。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32"/>
        </w:rPr>
        <w:t>5  完整性与近重复审计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历史检查结果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仍不能推出的结论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文件与数组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MD5及六个数组/索引SHA记录；形状、标签、计数通过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不能由文件完整性证明病理标签全无噪声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精确跨集合重复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完全像素一致0对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不能排除变换图、相邻图块或同患者关联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开发集候选筛查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9,032哈希候选对；849满足像素阈值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不能称849次患者泄漏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涉及图像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91个不同验证索引：背景80、碎屑2、平滑肌9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一个验证图可匹配多个训练图，候选对数不能当图像数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排除敏感性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B/D六次候选内均无误判；F1均值变化&lt;0.000003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不足以直接解释高分，不证明不存在未检出的关联</w:t>
            </w:r>
          </w:p>
        </w:tc>
      </w:tr>
    </w:tbl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候选方法使用8×8灰度平均哈希及汉明距离，再考虑四种旋转及翻转对齐，对块均差和完整像素差筛选。初版对齐方向选择不充分，修订并重跑后采用最终结果。筛查可能漏掉平移、裁剪、染色差异和更远的来源关联，因此没有凭启发式阈值自动删除或移动官方样本。[E11]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最相近的一对对齐后像素均差约0.2077/255，RGB通道值97.89%一致，但官方图像名不同。独立图像名只说明映射没有指向同一名称，不是切片或患者隔离证明。来源映射抽查保留了具体split/index，不将名称重新编码为患者ID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25"/>
        </w:rPr>
        <w:t>审计结论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在所检查的工程层面，没有发现训练/验证数组混用、随机增强进入验证、评估模式错误、标签错位或指标误算。近似候选不足以直接解释整体高分，但完整患者级独立性仍未获得。保持官方划分，并将验证与另一中心测试分别报告，是当前资料支持的处理方式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25"/>
        </w:rPr>
        <w:t>研究前已知的限制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不能用107,180张图像块代表107,180名患者；也不能通过图像索引、文件名或像素哈希自行构造患者ID。后续若没有可靠分组映射，仍应保留患者级独立性无法核验的表述。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32"/>
        </w:rPr>
        <w:t>6  数据产物与报告引用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1"/>
        <w:gridCol w:w="4920"/>
      </w:tblGrid>
      <w:tr>
        <w:trPr>
          <w:cantSplit/>
          <w:tblHeader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文件 / 目录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供什么问题追溯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stage1/manifest.json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数据身份、原始和有效计数、索引校验与限制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stage1/class_counts.csv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九类数量及比例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stage1/sample_provenance.json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样例图的split/index来源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stage1/cross_split_duplicates.csv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精确跨集合重复处理明细；当前为空记录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pathmnist_project/data.py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下载、解析、只读读取、预处理与增强限制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stage4/audit/高验证分数来源审计.md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数据/评估管线及候选方法说明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stage4/audit/near_duplicate_scan.json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候选计数、图像索引和像素阈值结果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stage4/audit/candidate_sensitivity.json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排除候选后的保存概率复算</w:t>
            </w:r>
          </w:p>
        </w:tc>
      </w:tr>
      <w:tr>
        <w:trPr>
          <w:cantSplit/>
        </w:trPr>
        <w:tc>
          <w:tcPr>
            <w:tcW w:type="dxa" w:w="454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data/release_manifest.json</w:t>
            </w:r>
          </w:p>
        </w:tc>
        <w:tc>
          <w:tcPr>
            <w:tcW w:type="dxa" w:w="492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资料包保存的既有私有数据Release入口</w:t>
            </w:r>
          </w:p>
        </w:tc>
      </w:tr>
    </w:tbl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上表是数据来源与探索的归档入口，不是要求重新运行准备或删除样本。全部路径按固定项目根理解；新版交付位置另见资料导航快照。正文中的[E编号]沿用技术评估附件的原证据索引；对应文件已在本提交的来源快照中整理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25"/>
        </w:rPr>
        <w:t>本次交付的范围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 xml:space="preserve">本笔记作为AI工程实践主报告的数据附件：它单独呈现课程要求中的“数据集探索”，不冒充患者队列研究或临床数据清洗。四位成员的学号与责任范围已由小组提供，见主报告第8.3节。项目已决定不补K折和QAT；未做K折仍作为事实记录，不推断教师已经豁免。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整理采用用户新增资料包、旧v2包和PPT素材包中的现存图像与源表。本轮只进行文档编排、文件和简单数值检查，没有模型推理、完整NPZ重审或新统计显著性试验。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Noto Sans CJK SC" w:hAnsi="Noto Sans CJK SC" w:eastAsia="Noto Sans CJK SC" w:cs="Noto Sans CJK SC"/>
          <w:b w:val="0"/>
          <w:color w:val="064C91"/>
          <w:sz w:val="32"/>
        </w:rPr>
        <w:t>数据集选择中的AI交互与核查分工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本页新增的是历史过程的归纳，不是重新选择数据集或重新下载数据。用户先确定医学图像方向，助手推荐PathMNIST；随后以课程条目、官方来源、数据结构和任务规模核对适用性。没有多数据集效果海选记录，不补写虚构筛选分数。[S01–S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2554"/>
        <w:gridCol w:w="2554"/>
        <w:gridCol w:w="2460"/>
      </w:tblGrid>
      <w:tr>
        <w:trPr>
          <w:cantSplit/>
          <w:tblHeader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任务输入与AI产物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核验方法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人的约束／仍需确认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选择方向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医学图像方向；AI说明PathMNIST九分类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对照课程MedMNIST条目和已归档来源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用户确认任务；不冒充新病理诊断数据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下载与整理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在指定服务器目录建立数据清单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MD5、数组、标签和索引检查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只操作本人目录，不下载完整数据到本机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数据探索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生成九类样例和分布图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源计数、样例索引、图表检查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AI目视检查不是专家重新标注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高分质询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近重复候选与敏感性统计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启发式相似度、已有概率复算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不把候选定性为患者泄漏，不自动删样本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报告解释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AI整理来源与边界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对照数据包实际字段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无患者ID，不能把索引写成患者分组</w:t>
            </w:r>
          </w:p>
        </w:tc>
      </w:tr>
    </w:tbl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数据清单解决“后续使用的是否同一份数据”，来源说明解决“数据是什么及能回答什么”。这两类核对互相补充，不能用哈希正确代替医学或患者层面的判断。</w:t>
      </w:r>
    </w:p>
    <w:p>
      <w:pPr>
        <w:spacing w:after="100" w:line="283" w:lineRule="auto"/>
      </w:pPr>
      <w:r>
        <w:rPr>
          <w:rFonts w:ascii="Noto Serif CJK SC" w:hAnsi="Noto Serif CJK SC" w:eastAsia="Noto Serif CJK SC" w:cs="Noto Serif CJK SC"/>
          <w:b w:val="0"/>
          <w:sz w:val="21"/>
        </w:rPr>
        <w:t>当前没有重新运行完整NPZ审计；以上通过情况均引用历史证据。具体代码见technical/source_snapshot/pathmnist_project/data.py，阶段原件见evidence/source/stage1与stage4/audit。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49" w:left="1191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37486"/>
        <w:sz w:val="16"/>
      </w:rPr>
      <w:t xml:space="preserve">科学证据 d5e4a71 · 文稿 v1.2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5" w:color="D5E1ED"/>
      </w:pBdr>
    </w:pPr>
    <w:r>
      <w:rPr>
        <w:rFonts w:ascii="Noto Sans CJK SC" w:hAnsi="Noto Sans CJK SC" w:eastAsia="Noto Sans CJK SC" w:cs="Noto Sans CJK SC"/>
        <w:b w:val="0"/>
        <w:color w:val="637486"/>
        <w:sz w:val="17"/>
      </w:rPr>
      <w:t>PathMNIST · AI工程实践  |  数据集探索笔记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14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64C9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02" w:lineRule="auto"/>
    </w:pPr>
    <w:rPr>
      <w:rFonts w:ascii="Noto Serif CJK SC" w:hAnsi="Noto Serif CJK SC" w:eastAsia="Noto Serif CJK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数据集探索笔记</dc:title>
  <dc:subject>PathMNIST课程第一阶段；AI实践导向提交材料v1</dc:subject>
  <dc:creator>PathMNIST课程小组（ChatGPT辅助编排）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