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color w:val="637486"/>
          <w:sz w:val="20"/>
        </w:rPr>
        <w:t>AI工程实践 · 交互与核验附件</w:t>
      </w:r>
    </w:p>
    <w:p>
      <w:pPr>
        <w:pStyle w:val="Heading1"/>
        <w:spacing w:before="360" w:after="320"/>
      </w:pPr>
      <w:r>
        <w:rPr>
          <w:rFonts w:ascii="Noto Sans CJK SC" w:hAnsi="Noto Sans CJK SC" w:eastAsia="Noto Sans CJK SC" w:cs="Noto Sans CJK SC"/>
          <w:b w:val="0"/>
          <w:color w:val="064C91"/>
          <w:sz w:val="50"/>
        </w:rPr>
        <w:t>AI使用日志与交互案例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本附件以保存的阶段AI日志、原始提示、源码审阅和验收记录为依据，说明人怎样把任务交给AI，怎样处理其输出，以及哪些内容未被采纳。它不是完整聊天逐字导出，也不补画不存在的聊天截图。原件均保留在evidence/source；文中S编号见reference/来源编号与阅读索引.md。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1 记录分类与使用原则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1"/>
        <w:gridCol w:w="3690"/>
        <w:gridCol w:w="3690"/>
      </w:tblGrid>
      <w:tr>
        <w:trPr>
          <w:cantSplit/>
          <w:tblHeader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标记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含义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使用方式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原话节选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能在保存的日志／当前对话中定位的文字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使用引号或引用块，注明来源，不伪装成整段完整会话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日志摘要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根据阶段记录整理的任务与响应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不加“原始提示词”标签，不推测未记录上下文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源码事实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从指定代码或配置直接可见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说明文件和作用，不等于新运行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历史实测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原命令、日志、指标或设备验收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保留时间和环境范围，不称本轮复跑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本轮整理／新增检查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当前文稿、目录与静态校验工具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与历史模型成果分开；云端执行需真实记录</w:t>
            </w:r>
          </w:p>
        </w:tc>
      </w:tr>
    </w:tbl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实际工具角色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ChatGPT参与对话、方案讨论、交接、材料解释和提交组织；Codex承担大部分仓库、终端、训练与验证实现；DeepSeek网页仅有第六阶段风险审查及草稿记录。项目未使用Claude Code。不同AI的相互审查不是自动的独立实验认证。[S02、S08、S13–S14]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交接包的写作会话没有GitHub写入接口。2026年10月19日由现有Codex会话接手发布；没有另建任务，也不把新发布动作倒记为原训练期操作。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2 从选题到交付的阶段日志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92"/>
        <w:gridCol w:w="2554"/>
        <w:gridCol w:w="2554"/>
        <w:gridCol w:w="2460"/>
      </w:tblGrid>
      <w:tr>
        <w:trPr>
          <w:cantSplit/>
          <w:tblHeader/>
        </w:trPr>
        <w:tc>
          <w:tcPr>
            <w:tcW w:type="dxa" w:w="1892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输入任务与约束（摘要）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AI产物及执行</w:t>
            </w:r>
          </w:p>
        </w:tc>
        <w:tc>
          <w:tcPr>
            <w:tcW w:type="dxa" w:w="24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核查／取舍</w:t>
            </w:r>
          </w:p>
        </w:tc>
      </w:tr>
      <w:tr>
        <w:trPr>
          <w:cantSplit/>
        </w:trPr>
        <w:tc>
          <w:tcPr>
            <w:tcW w:type="dxa" w:w="1892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选题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医学图像方向；子集由助手推荐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PathMNIST任务、数据与对照建议</w:t>
            </w:r>
          </w:p>
        </w:tc>
        <w:tc>
          <w:tcPr>
            <w:tcW w:type="dxa" w:w="24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未记录多数据集性能海选</w:t>
            </w:r>
          </w:p>
        </w:tc>
      </w:tr>
      <w:tr>
        <w:trPr>
          <w:cantSplit/>
        </w:trPr>
        <w:tc>
          <w:tcPr>
            <w:tcW w:type="dxa" w:w="1892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数据环境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只在本人服务器目录；不在本机下载完整数据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环境、数据下载、manifest、分布图</w:t>
            </w:r>
          </w:p>
        </w:tc>
        <w:tc>
          <w:tcPr>
            <w:tcW w:type="dxa" w:w="24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MD5与数组检查；患者ID限制保留</w:t>
            </w:r>
          </w:p>
        </w:tc>
      </w:tr>
      <w:tr>
        <w:trPr>
          <w:cantSplit/>
        </w:trPr>
        <w:tc>
          <w:tcPr>
            <w:tcW w:type="dxa" w:w="1892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流程基线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分阶段开展，每阶段留汇报证据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smoke、probe、run-one</w:t>
            </w:r>
          </w:p>
        </w:tc>
        <w:tc>
          <w:tcPr>
            <w:tcW w:type="dxa" w:w="24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先小后大；共同batch128可用</w:t>
            </w:r>
          </w:p>
        </w:tc>
      </w:tr>
      <w:tr>
        <w:trPr>
          <w:cantSplit/>
        </w:trPr>
        <w:tc>
          <w:tcPr>
            <w:tcW w:type="dxa" w:w="1892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A—D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同一协议继续剩余主实验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11次新轨迹及既有基线；逐图复核</w:t>
            </w:r>
          </w:p>
        </w:tc>
        <w:tc>
          <w:tcPr>
            <w:tcW w:type="dxa" w:w="24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三种子不是三折；未打开正式测试分数</w:t>
            </w:r>
          </w:p>
        </w:tc>
      </w:tr>
      <w:tr>
        <w:trPr>
          <w:cantSplit/>
        </w:trPr>
        <w:tc>
          <w:tcPr>
            <w:tcW w:type="dxa" w:w="1892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审计扩展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查高验证分数；完成E；恢复原型独立开发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候选审计、三条E、resume_v2</w:t>
            </w:r>
          </w:p>
        </w:tc>
        <w:tc>
          <w:tcPr>
            <w:tcW w:type="dxa" w:w="24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不自动删近同样本；不扩满建议训练</w:t>
            </w:r>
          </w:p>
        </w:tc>
      </w:tr>
      <w:tr>
        <w:trPr>
          <w:cantSplit/>
        </w:trPr>
        <w:tc>
          <w:tcPr>
            <w:tcW w:type="dxa" w:w="1892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冻结测试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锁定后评价；不覆写既有证据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D_seed2026选择、15条统一测试</w:t>
            </w:r>
          </w:p>
        </w:tc>
        <w:tc>
          <w:tcPr>
            <w:tcW w:type="dxa" w:w="24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E更高也不倒改本轮选择</w:t>
            </w:r>
          </w:p>
        </w:tc>
      </w:tr>
      <w:tr>
        <w:trPr>
          <w:cantSplit/>
        </w:trPr>
        <w:tc>
          <w:tcPr>
            <w:tcW w:type="dxa" w:w="1892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量化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冻结后仅train校准、val验收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DeepSeek草稿、Codex PTQ与图表</w:t>
            </w:r>
          </w:p>
        </w:tc>
        <w:tc>
          <w:tcPr>
            <w:tcW w:type="dxa" w:w="24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原两版失败记录保留</w:t>
            </w:r>
          </w:p>
        </w:tc>
      </w:tr>
      <w:tr>
        <w:trPr>
          <w:cantSplit/>
        </w:trPr>
        <w:tc>
          <w:tcPr>
            <w:tcW w:type="dxa" w:w="1892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第七阶段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不重训、不重开测试、独立演示与补证据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原CSV复制核验、CLI/UI、有限PTQ</w:t>
            </w:r>
          </w:p>
        </w:tc>
        <w:tc>
          <w:tcPr>
            <w:tcW w:type="dxa" w:w="24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候选通过精度门槛仍更慢，默认FP32</w:t>
            </w:r>
          </w:p>
        </w:tc>
      </w:tr>
      <w:tr>
        <w:trPr>
          <w:cantSplit/>
        </w:trPr>
        <w:tc>
          <w:tcPr>
            <w:tcW w:type="dxa" w:w="1892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当前提交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AI实践为主，原仓库不动，新仓库独立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新主报告、附件、同步PPT、提交目录</w:t>
            </w:r>
          </w:p>
        </w:tc>
        <w:tc>
          <w:tcPr>
            <w:tcW w:type="dxa" w:w="24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 xml:space="preserve">云端发布与CI已实测；按小组决定公开，不回写历史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以上是工作流摘要，不把所有代码生成和执行归为同一次提示。主要来源：S02、S05–S10、S13–S14、S20。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阶段衔接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阶段总结不是单纯“完成百分比”，而应说明产物路径、核验结果、未决问题与下一步是否得到批准。用户多次提出范围和不覆盖约束，Codex再依据当前源码与产物落实；由此把聊天中的意图保存在项目文件中。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3 案例一：把方向描述变成明确任务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原话与摘要分开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阶段日志保存的用户原话节选：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可以，进行下一阶段的任务了，要在每一阶段做好记录，最终目的都是为了最后的汇报和报告。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来源：docs/AI使用日志.md，第二阶段条目。[S02]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“选择医学图像方向，将具体子集交由助手推荐”属于同一日志中的人工决策摘要；它不是本附件重新取得的一段完整原始聊天。此处不用虚构的聊天气泡展示。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AI如何拆解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任务从领域方向细化为PathMNIST数据、九类标签、官方划分、模型与尺寸比较、D/E消融、种子、训练设置、评价指标和冻结规则。相应产物是方法协议、matrix、manifest、代码及阶段文档。配置形成经历多轮推进，不应声称“一句提示自动生成最终全部设计”。[S02–S06]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原始约束的工程作用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4"/>
        <w:gridCol w:w="6906"/>
      </w:tblGrid>
      <w:tr>
        <w:trPr>
          <w:cantSplit/>
          <w:tblHeader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约束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落到文件或执行上的作用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只使用本人项目目录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环境、下载缓存和运行输出限定在约定项目范围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不把完整数据下载到本机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大数据与权重留在服务器，轻量证据另行复制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每阶段保留记录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保存命令、日志、配置、来源标识与图表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先检查再扩大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小样本测试不能省略，也不能将其分数并入正式实验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后来当用户允许数据在服务器下载或调整运行范围时，记录注明了授权变化，没有把最初限制当成永远不变，也没有无依据推断新的授权。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可以从这个案例学到什么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有效交互不仅包含目标，还应给出上下文、边界和验收方式。字段如何固定、图像尺寸如何选择仍需要在后续实现中检查；任务文档不是正确性的替代品。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4 案例二：ChatGPT建议由Codex回到源码核对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/>
          <w:sz w:val="22"/>
        </w:rPr>
        <w:t>日期与性质：</w:t>
      </w:r>
      <w:r>
        <w:rPr>
          <w:rFonts w:ascii="Noto Serif CJK SC" w:hAnsi="Noto Serif CJK SC" w:eastAsia="Noto Serif CJK SC" w:cs="Noto Serif CJK SC"/>
          <w:b w:val="0"/>
          <w:sz w:val="22"/>
        </w:rPr>
        <w:t xml:space="preserve"> 2026-09-23；方案评审，不是新增实验启动。用户把ChatGPT对话中的PATHMNIST_EXPERIMENT_V2.md与CODEX_START_HERE.md交给Codex，并要求判断建议是否适用。原建议正文在本附件中不重建，仅引用已归档审阅表。[S08]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1"/>
        <w:gridCol w:w="3690"/>
        <w:gridCol w:w="3690"/>
      </w:tblGrid>
      <w:tr>
        <w:trPr>
          <w:cantSplit/>
          <w:tblHeader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对话中的建议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源码／协议核对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采纳状态与证据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需要补自动早停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已有验证Macro-F1早停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否决“缺失”判断，不重复实现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需要完整断点恢复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best.pt缺优化器、调度器、随机状态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采纳，但在独立resume_v2目录实现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40轮直接续到200轮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T_max变更影响学习率轨迹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不当原训练延续；未默认启动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更多轨迹与新的增强消融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建议参照不等于原E组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先完成原协议，不照搬建议预算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高分值得核查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数据与代码审计具有实际价值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采纳只读审计，保留患者ID限制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实际恢复原型有本地合成检查及历史GPU短轨迹验收；连续4轮与2+2恢复的24项状态比较一致。它不构成第四个种子或新的正式模型结果。[S09]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/>
          <w:sz w:val="22"/>
        </w:rPr>
        <w:t>对协作的影响。</w:t>
      </w:r>
      <w:r>
        <w:rPr>
          <w:rFonts w:ascii="Noto Serif CJK SC" w:hAnsi="Noto Serif CJK SC" w:eastAsia="Noto Serif CJK SC" w:cs="Noto Serif CJK SC"/>
          <w:b w:val="0"/>
          <w:sz w:val="22"/>
        </w:rPr>
        <w:t xml:space="preserve"> ChatGPT可以帮助提出结构化方案，但执行代理必须掌握当前代码状态；Codex的核对也要留下依据。这个案例避免了把另一对话的假设直接转成大量新增训练。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/>
          <w:sz w:val="22"/>
        </w:rPr>
        <w:t>未确认个人归属。</w:t>
      </w:r>
      <w:r>
        <w:rPr>
          <w:rFonts w:ascii="Noto Serif CJK SC" w:hAnsi="Noto Serif CJK SC" w:eastAsia="Noto Serif CJK SC" w:cs="Noto Serif CJK SC"/>
          <w:b w:val="0"/>
          <w:sz w:val="22"/>
        </w:rPr>
        <w:t xml:space="preserve"> 日志记有用户提出审阅任务、Codex完成审阅与实现；没有署名证据的逐行人工审核，不归给具体组员。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5 案例三：DeepSeek审查和草稿的选择性采用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/>
          <w:sz w:val="22"/>
        </w:rPr>
        <w:t>日期：</w:t>
      </w:r>
      <w:r>
        <w:rPr>
          <w:rFonts w:ascii="Noto Serif CJK SC" w:hAnsi="Noto Serif CJK SC" w:eastAsia="Noto Serif CJK SC" w:cs="Noto Serif CJK SC"/>
          <w:b w:val="0"/>
          <w:sz w:val="22"/>
        </w:rPr>
        <w:t xml:space="preserve"> 2026-09-28。实际界面为DeepSeek网页。输入为公开方法概述，不上传完整源码、原图、逐图预测、服务器地址或凭据。[S13]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原始提示节选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请给出：1）按严重性排序的最多6个实施或解释风险及相应验收办法；2）一段不超过50行的Python函数，接收相同顺序的y_true、FP32九类概率数组和INT8九类概率数组，验证形状/有限值/概率和……请只依据上述公开方法信息回答，不假设你已运行该项目。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省略处仅为缩短显示，完整原话见原记录。函数接口、数据角色与不使用测试集调参等条件也在原提示中说明。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反馈与处理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DeepSeek提出校准和验收集分工、S8S8数值风险、计时可比性、概率接口、校准采样偏差和逐类退化等风险。指标草稿存在输入检查不完整：0—8标签、非负概率、非空样本和固定九类labels未完整约束。该函数未进入正式指标管线，沿用已有classification_metrics。[S13]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第二次提示请求从comparison.json生成对比图，不访问网络和原图。草稿经过协议、非法数值、P95、文字位置及字体修订后，先用合成JSON验收。合成数据图不用于正式结果，正式图来源为真实量化汇总。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/>
          <w:sz w:val="22"/>
        </w:rPr>
        <w:t>结论。</w:t>
      </w:r>
      <w:r>
        <w:rPr>
          <w:rFonts w:ascii="Noto Serif CJK SC" w:hAnsi="Noto Serif CJK SC" w:eastAsia="Noto Serif CJK SC" w:cs="Noto Serif CJK SC"/>
          <w:b w:val="0"/>
          <w:sz w:val="22"/>
        </w:rPr>
        <w:t xml:space="preserve"> AI草稿可以被拒绝；两个不同工具参与，不等于自动获得两份实测证据。“人工修订”没有具体署名的部分保持待确认，不写成某位组员完全独立实现。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6 案例四：复核脚本失败，只修复核验链条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第五阶段模型已经产生正式测试预测，独立复核程序首次读取混淆矩阵时，将JSON列表误当对象，导致程序停止。修复的是读取类型，再重新运行复核脚本；正式测试预测没有重跑或修改。[S10]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4"/>
        <w:gridCol w:w="6906"/>
      </w:tblGrid>
      <w:tr>
        <w:trPr>
          <w:cantSplit/>
          <w:tblHeader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需要区分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此次实际对象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原始实验产物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冻结模型已生成的测试预测与指标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出错程序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读取和比较这些产物的独立复核脚本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修复范围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JSON类型处理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重跑范围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复核脚本，而非模型训练或测试预测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最终证据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修复后的核查记录与原结果来源仍一致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如果因为核验程序报错就重新生成测试预测，既不能直接解决类型问题，还可能覆盖原证据。保留失败和控制修复范围，是Harness在真实工程中的具体作用，而不是要求系统永远不出错。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关联案例：演示路径与文件保护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第七阶段把依赖原服务器路径的演示整理为独立CLI/UI，默认FP32，检查模型SHA、标签、布局与预处理，限制路径越界，输出使用拒绝覆盖的方式。上述第七阶段记录只说明历史程序行为。2026年10月19日发布接手另行补齐1份FP32模型和10张固定验证PNG，并在独立Mac目录完成20项运行检查及4项浏览器用例；新旧验收分别引用，不以历史记录替代新副本记录。[S17–S18、S21]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7 案例五：量化诊断、重试与证据边界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/>
          <w:sz w:val="22"/>
        </w:rPr>
        <w:t>任务摘要。</w:t>
      </w:r>
      <w:r>
        <w:rPr>
          <w:rFonts w:ascii="Noto Serif CJK SC" w:hAnsi="Noto Serif CJK SC" w:eastAsia="Noto Serif CJK SC" w:cs="Noto Serif CJK SC"/>
          <w:b w:val="0"/>
          <w:sz w:val="22"/>
        </w:rPr>
        <w:t xml:space="preserve"> 第七阶段要求限时、只用train/val诊断，若有明确线索才有限追加PTQ，不打开官方测试，不自动QAT。[S14–S15]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问题与修复顺序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1"/>
        <w:gridCol w:w="3690"/>
        <w:gridCol w:w="3690"/>
      </w:tblGrid>
      <w:tr>
        <w:trPr>
          <w:cantSplit/>
          <w:tblHeader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问题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处理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没有做的事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reader缺迭代接口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修订数据读取，保留失败退出码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不删除失败记录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uint8调试助手计算回绕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提升类型并用反量化对照复核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不认定其为实际ONNX推理失败根因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原量化分数严重下降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根据训练样例线索登记五Conv浮点候选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不用测试集挑量化参数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初次候选验收基线路径错误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对照候选SHA，修正路径后再核验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不将启动成功当完整验收成功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候选精度恢复、速度仍慢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保存候选与各自基线，默认FP32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不把压缩率改称加速率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历史记录区分18张独立诊断样例、576张训练校准样例与10,004张验证图像；含重试的验证处理张次不等于更多独立样本。完整验证F1为0.9956677882，现存记录为工程验收，未形成新外部测试。[S15–S16]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为什么保留失败也有报告价值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本案例允许看到输入接口、辅助工具、数据路径和性能目标四类问题；它们需要不同检查，不能统一称为“模型不够好”。本轮重新组织材料没有重新执行上述命令，历史验收和当前文稿检查分开。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8 Skill、复用与新提交阶段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8.1 实际记录与不能补造的内容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项目已存在的数据/训练CLI、审计脚本、resume_v2、portable_demo和打包逻辑，是可复用的工程能力。当前没有专用local/global Skill名称、配置作用域与调用记录的完整证据，因此不列为项目历史已使用的正式Skill包。[S02、S14]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对本轮文稿制作而言，使用的文档／PPT渲染工具和本地文件检查属于当前整理行为，不倒写成训练期的Codex Skill。将来新增Skill，应记录名称、版本、作用域、触发任务与实际输出，而非仅截图“已安装”。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8.2 发布接手与纠错案例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 xml:space="preserve">用户确认原科学仓库保持不变。发布接手已创建独立提交库并上传，现按小组决定公开，补齐11份原运行资产，另存新副本20项运行检查及4项界面验收，取得真实CI通过记录。CI只检查文件与算术；公开阅读无需邀请，用户不要求现场投影验收；仓库、Release与运行链接见S21。[S20–S21]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发布交接案例。ChatGPT整理文稿与执行清单后，用户将任务包交给已有Codex会话；Codex核对原库和当前工作区，复制必要资产，再在新目录验收、执行云端CI、公开发布并核对下载。它体现上下文、资产与执行反馈的衔接，不是ChatGPT自动创建Codex任务。[S20–S22]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浏览器自动化第一次通过语义定位查找文件选择器时超时。记录随后改用原生文件选择器，完成正确样例、不一致样例、有效上传和损坏上传四条流程；没有为迁就自动化而修改应用，也没有把定位超时判为模型分类失败。应先判断错误属于工具、应用接口还是模型行为，再选择修复层次。[S22]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固定不一致样例val:9082的给定标签为7，预测仍为4，却通过部署一致性检查，因为检查要求输出与已归档参考相符，并不要求每张样例都分类正确。保留该样例用于展示局限；这10张展示样例不形成独立泛化成绩。命令行由OS限制外网，浏览器应用仅允许回环，浏览器本身未全局断网。[S21–S22]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发布操作也保留了失败：首次以短提交前缀创建Release被接口拒绝，使用完整提交SHA后成功。材料快照与后续回执提交分开，旧Release与附件继续保留。本轮只更新材料并复核文件，不重新运行上述模型或浏览器用例。[S22]</w:t>
      </w:r>
    </w:p>
    <w:p>
      <w:r>
        <w:br w:type="page"/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 xml:space="preserve">8.3 成员分工与贡献说明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4"/>
        <w:gridCol w:w="1325"/>
        <w:gridCol w:w="2365"/>
        <w:gridCol w:w="2744"/>
        <w:gridCol w:w="1514"/>
      </w:tblGrid>
      <w:tr>
        <w:trPr>
          <w:cantSplit/>
          <w:tblHeader/>
        </w:trPr>
        <w:tc>
          <w:tcPr>
            <w:tcW w:type="dxa" w:w="151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9"/>
              </w:rPr>
              <w:t>成员</w:t>
            </w:r>
          </w:p>
        </w:tc>
        <w:tc>
          <w:tcPr>
            <w:tcW w:type="dxa" w:w="1325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9"/>
              </w:rPr>
              <w:t>学号</w:t>
            </w:r>
          </w:p>
        </w:tc>
        <w:tc>
          <w:tcPr>
            <w:tcW w:type="dxa" w:w="2365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9"/>
              </w:rPr>
              <w:t>责任范围</w:t>
            </w:r>
          </w:p>
        </w:tc>
        <w:tc>
          <w:tcPr>
            <w:tcW w:type="dxa" w:w="274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9"/>
              </w:rPr>
              <w:t>对应资料</w:t>
            </w:r>
          </w:p>
        </w:tc>
        <w:tc>
          <w:tcPr>
            <w:tcW w:type="dxa" w:w="151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9"/>
              </w:rPr>
              <w:t>补充来源</w:t>
            </w:r>
          </w:p>
        </w:tc>
      </w:tr>
      <w:tr>
        <w:trPr>
          <w:cantSplit/>
        </w:trPr>
        <w:tc>
          <w:tcPr>
            <w:tcW w:type="dxa" w:w="151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王张文皓</w:t>
            </w:r>
          </w:p>
        </w:tc>
        <w:tc>
          <w:tcPr>
            <w:tcW w:type="dxa" w:w="1325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12615035</w:t>
            </w:r>
          </w:p>
        </w:tc>
        <w:tc>
          <w:tcPr>
            <w:tcW w:type="dxa" w:w="2365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代码与技术实现</w:t>
            </w:r>
          </w:p>
        </w:tc>
        <w:tc>
          <w:tcPr>
            <w:tcW w:type="dxa" w:w="274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技术实现与演示</w:t>
            </w:r>
          </w:p>
        </w:tc>
        <w:tc>
          <w:tcPr>
            <w:tcW w:type="dxa" w:w="151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小组提供</w:t>
            </w:r>
          </w:p>
        </w:tc>
      </w:tr>
      <w:tr>
        <w:trPr>
          <w:cantSplit/>
        </w:trPr>
        <w:tc>
          <w:tcPr>
            <w:tcW w:type="dxa" w:w="151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赵昱淳</w:t>
            </w:r>
          </w:p>
        </w:tc>
        <w:tc>
          <w:tcPr>
            <w:tcW w:type="dxa" w:w="1325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12615027</w:t>
            </w:r>
          </w:p>
        </w:tc>
        <w:tc>
          <w:tcPr>
            <w:tcW w:type="dxa" w:w="2365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项目规划</w:t>
            </w:r>
          </w:p>
        </w:tc>
        <w:tc>
          <w:tcPr>
            <w:tcW w:type="dxa" w:w="274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规划与阶段文档</w:t>
            </w:r>
          </w:p>
        </w:tc>
        <w:tc>
          <w:tcPr>
            <w:tcW w:type="dxa" w:w="151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小组提供</w:t>
            </w:r>
          </w:p>
        </w:tc>
      </w:tr>
      <w:tr>
        <w:trPr>
          <w:cantSplit/>
        </w:trPr>
        <w:tc>
          <w:tcPr>
            <w:tcW w:type="dxa" w:w="151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李以祺</w:t>
            </w:r>
          </w:p>
        </w:tc>
        <w:tc>
          <w:tcPr>
            <w:tcW w:type="dxa" w:w="1325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22615003</w:t>
            </w:r>
          </w:p>
        </w:tc>
        <w:tc>
          <w:tcPr>
            <w:tcW w:type="dxa" w:w="2365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后端测试与代码整理</w:t>
            </w:r>
          </w:p>
        </w:tc>
        <w:tc>
          <w:tcPr>
            <w:tcW w:type="dxa" w:w="274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源码与测试说明</w:t>
            </w:r>
          </w:p>
        </w:tc>
        <w:tc>
          <w:tcPr>
            <w:tcW w:type="dxa" w:w="151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小组提供</w:t>
            </w:r>
          </w:p>
        </w:tc>
      </w:tr>
      <w:tr>
        <w:trPr>
          <w:cantSplit/>
        </w:trPr>
        <w:tc>
          <w:tcPr>
            <w:tcW w:type="dxa" w:w="151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朱逸枫</w:t>
            </w:r>
          </w:p>
        </w:tc>
        <w:tc>
          <w:tcPr>
            <w:tcW w:type="dxa" w:w="1325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12615026</w:t>
            </w:r>
          </w:p>
        </w:tc>
        <w:tc>
          <w:tcPr>
            <w:tcW w:type="dxa" w:w="2365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云端维护与报告整理</w:t>
            </w:r>
          </w:p>
        </w:tc>
        <w:tc>
          <w:tcPr>
            <w:tcW w:type="dxa" w:w="274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云端与报告材料</w:t>
            </w:r>
          </w:p>
        </w:tc>
        <w:tc>
          <w:tcPr>
            <w:tcW w:type="dxa" w:w="151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小组提供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 xml:space="preserve">成员及学号由小组提供，责任范围见本表与《成员分工与贡献说明》。对应资料仅用于定位项目内容，不证明某条未署名命令由该成员亲自执行。AI参与仍按日志保留；不编造工时、贡献比例或效率数值。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原件与来源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主要原件：docs/AI使用日志.md；docs/实验升级方案审阅记录.md；stage4/续训工程验收记录.md；stage5/第五阶段执行记录.md；stage6/DeepSeek量化审查记录.md；stage7/AI使用日志.md、执行记录.md、quantization_diagnosis.md。复制路径及SHA见evidence/source_provenance.json；本轮决定见ai_workflow/decisions/本轮用户决定.md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1049" w:left="1191" w:header="397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CJK SC" w:hAnsi="Noto Sans CJK SC" w:eastAsia="Noto Sans CJK SC" w:cs="Noto Sans CJK SC"/>
        <w:b w:val="0"/>
        <w:color w:val="637486"/>
        <w:sz w:val="16"/>
      </w:rPr>
      <w:t xml:space="preserve">科学证据 d5e4a71 · 文稿 v1.2   |   </w:t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pBdr>
        <w:bottom w:val="single" w:sz="5" w:color="D5E1ED"/>
      </w:pBdr>
    </w:pPr>
    <w:r>
      <w:rPr>
        <w:rFonts w:ascii="Noto Sans CJK SC" w:hAnsi="Noto Sans CJK SC" w:eastAsia="Noto Sans CJK SC" w:cs="Noto Sans CJK SC"/>
        <w:b w:val="0"/>
        <w:color w:val="637486"/>
        <w:sz w:val="17"/>
      </w:rPr>
      <w:t>PathMNIST · AI工程实践  |  AI使用日志与交互案例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2" w:lineRule="auto" w:after="140"/>
    </w:pPr>
    <w:rPr>
      <w:rFonts w:ascii="Noto Serif CJK SC" w:hAnsi="Noto Serif CJK SC" w:eastAsia="Noto Serif CJK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8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64C9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8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64C9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8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64C9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80" w:line="240" w:lineRule="auto" w:before="200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064C91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40" w:line="302" w:lineRule="auto"/>
    </w:pPr>
    <w:rPr>
      <w:rFonts w:ascii="Noto Serif CJK SC" w:hAnsi="Noto Serif CJK SC" w:eastAsia="Noto Serif CJK SC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AI使用日志与交互案例</dc:title>
  <dc:subject>PathMNIST课程第一阶段；AI实践导向提交材料v1</dc:subject>
  <dc:creator>PathMNIST课程小组（ChatGPT辅助编排）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