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sz w:val="28"/>
        </w:rPr>
        <w:t>Highlights</w:t>
      </w:r>
    </w:p>
    <w:p>
      <w:pPr>
        <w:spacing w:after="200"/>
      </w:pPr>
      <w:r>
        <w:rPr>
          <w:i/>
          <w:sz w:val="20"/>
        </w:rPr>
        <w:t>Network-based prioritization of venom–host interactions potentially relevant to Russell’s viper–associated thrombotic microangiopathy</w:t>
      </w:r>
    </w:p>
    <w:p>
      <w:pPr>
        <w:pStyle w:val="ListBullet"/>
      </w:pPr>
      <w:r>
        <w:t>Multi-layer network-toxicology pipeline from Daboia venom toxins to TMA machinery</w:t>
      </w:r>
    </w:p>
    <w:p>
      <w:pPr>
        <w:pStyle w:val="ListBullet"/>
      </w:pPr>
      <w:r>
        <w:t>Coagulation/platelet axis dominates target, network, and enrichment evidence</w:t>
      </w:r>
    </w:p>
    <w:p>
      <w:pPr>
        <w:pStyle w:val="ListBullet"/>
      </w:pPr>
      <w:r>
        <w:t>Seven toxin–host complexes cross-checked on three docking platforms plus NMA</w:t>
      </w:r>
    </w:p>
    <w:p>
      <w:pPr>
        <w:pStyle w:val="ListBullet"/>
      </w:pPr>
      <w:r>
        <w:t>Batimastat, marimastat and varespladib bind toxin pockets with sound geometry</w:t>
      </w:r>
    </w:p>
    <w:p>
      <w:pPr>
        <w:pStyle w:val="ListBullet"/>
      </w:pPr>
      <w:r>
        <w:t>Cross-species transcriptomes and AOP mapping bound the mechanism honestly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