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sz w:val="44"/>
        </w:rPr>
        <w:t>Supplementary Material</w:t>
      </w:r>
    </w:p>
    <w:p>
      <w:pPr>
        <w:spacing w:after="280"/>
        <w:jc w:val="center"/>
      </w:pPr>
      <w:r>
        <w:rPr>
          <w:b/>
          <w:sz w:val="28"/>
        </w:rPr>
        <w:t>Network-based prioritization of venom–host interactions potentially relevant to Russell’s viper–associated thrombotic microangiopathy</w:t>
      </w:r>
    </w:p>
    <w:p>
      <w:pPr>
        <w:spacing w:after="80"/>
        <w:jc w:val="center"/>
      </w:pPr>
      <w:r>
        <w:rPr>
          <w:b w:val="0"/>
          <w:sz w:val="22"/>
        </w:rPr>
        <w:t>Xiuzhen Pan¹, Xianggui Zeng¹, Jiali Li¹, Wenhui Chen¹,*</w:t>
      </w:r>
    </w:p>
    <w:p>
      <w:pPr>
        <w:spacing w:after="80"/>
        <w:jc w:val="center"/>
      </w:pPr>
      <w:r>
        <w:rPr>
          <w:b w:val="0"/>
          <w:sz w:val="20"/>
        </w:rPr>
        <w:t>¹ Department of Emergency Medicine, The Second Affiliated Hospital of Guilin Medical University, Guilin, China</w:t>
      </w:r>
    </w:p>
    <w:p>
      <w:pPr>
        <w:spacing w:after="280"/>
        <w:jc w:val="center"/>
      </w:pPr>
      <w:r>
        <w:rPr>
          <w:b w:val="0"/>
          <w:sz w:val="20"/>
        </w:rPr>
        <w:t>* Corresponding author: chenwenhui@glmu.edu.cn (ORCID 0009-0001-3910-2528); first author ORCID 0009-0006-3040-7153</w:t>
      </w:r>
    </w:p>
    <w:p>
      <w:pPr>
        <w:spacing w:after="80"/>
        <w:jc w:val="center"/>
      </w:pPr>
      <w:r>
        <w:rPr>
          <w:b w:val="0"/>
          <w:sz w:val="20"/>
        </w:rPr>
        <w:t>Contents: Supplementary Methods (SM.1–SM.9) · Tables S1–S10 (captions below; full machine-readable tables in the companion workbook Supplementary_Tables_S1-S10.xlsx) · companion data files note · Figure 5 vector export (Figure5_4layer_network.svg, included in this package).</w:t>
      </w:r>
    </w:p>
    <w:p>
      <w:pPr>
        <w:spacing w:after="120"/>
        <w:jc w:val="center"/>
      </w:pPr>
      <w:r>
        <w:rPr>
          <w:b w:val="0"/>
          <w:sz w:val="18"/>
        </w:rPr>
        <w:t>Compiled 2026-10-02 (analysis change log v47). The analysis code and result tables are archived at https://doi.org/10.5281/zenodo.23065792 (concept DOI, resolves to the latest release); large raw files at https://doi.org/10.5281/zenodo.23087108.</w:t>
      </w:r>
    </w:p>
    <w:p>
      <w:r>
        <w:br w:type="page"/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SM.1  Venom-toxin library construction (Phase 1A)</w:t>
      </w:r>
    </w:p>
    <w:p>
      <w:pPr>
        <w:spacing w:after="120"/>
      </w:pPr>
      <w:r>
        <w:rPr>
          <w:b w:val="0"/>
        </w:rPr>
        <w:t>Retrieval (all 2026-09-22, UniProtKB release 2026_03): main query keyword:"Toxin" AND reviewed:true AND organism_name:"Daboia russelii" returned 52 entries (28 D. siamensis covered by automatic synonym expansion; an independent D. siamensis export of 28 entries overlapped completely). Because the "Toxin" keyword misses the Kunitz inhibitor family, a supplementary query (organism_name:"Daboia russelii") AND (protein_name:"Kunitz") AND (reviewed:true) recovered 24 reviewed Kunitz entries, plus 4 CRISP entries (full-length CRISPs unreviewed, flagged in the source column). SVMP coverage was replenished from NCBI Protein with russelysin (GenBank AAZ39880) and two disintegrins. Merging and de-duplication by accession gave 78 records; 16 fragmented sequences &lt;30 aa were removed by design (mostly short Kunitz/CRISP peptides), yielding 62 entries; the VenomZone cross-check recovered one full-length basic PLA2-3 (P86368), giving the final 63-entry library.</w:t>
      </w:r>
    </w:p>
    <w:p>
      <w:pPr>
        <w:spacing w:after="120"/>
      </w:pPr>
      <w:r>
        <w:rPr>
          <w:b w:val="0"/>
        </w:rPr>
        <w:t>Quality control against VenomZone/Tox-Prot (query taxonomy_id:{8707/343250} AND cc_tissue_specificity:venom AND reviewed:true; 71 reviewed venom entries): the 21 entries absent from our library were 20 short-peptide sequencing-evidence entries (&lt;30 aa, excluded by design) plus P86368 (recovered); seven reviewed entries present in our library but lacking a venom-tissue annotation were retained as reasonable additions. All five major families (SVMP/SVSP/PLA2/snaclec/Kunitz) are represented in both resources.</w:t>
      </w:r>
    </w:p>
    <w:p>
      <w:pPr>
        <w:spacing w:after="120"/>
      </w:pPr>
      <w:r>
        <w:rPr>
          <w:b w:val="0"/>
        </w:rPr>
        <w:t>Redundancy was reduced by 90%-identity clustering (custom greedy CD-HIT-equivalent; script build_toxin_lib.py), giving 40 clusters with 40 representative sequences (toxins_nr90.fasta). Family-level venom abundance weights were back-filled from the functional venomics dataset of Sri Lankan D. russelii (Tan et al., J Proteomics 2015): PLA2 35.0%, snaclec 22.4%, SVSP 16.0%, SVMP 6.9%, LAAO 5.2%, Kunitz 4.6%, NGF 3.5%, CRISP 2.0%. Final composition (63 entries): Kunitz 21, PLA2 16 (including P86368 recovered at the VenomZone cross-check), snaclec/CTL 8, SVMP/disintegrin 5, SVSP 4, CRISP 4, LAAO 2, VEGF 2, NGF 1; species split D. siamensis 38 / D. russelii 25. Structure availability: 11 PDB entries, 48 AlphaFold models, 4 without structure.</w:t>
      </w:r>
    </w:p>
    <w:p>
      <w:pPr>
        <w:pStyle w:val="Heading2"/>
      </w:pPr>
      <w:r>
        <w:t>SM.2  Six-source disease-gene integration (Phase 1B)</w:t>
      </w:r>
    </w:p>
    <w:p>
      <w:pPr>
        <w:spacing w:after="120"/>
      </w:pPr>
      <w:r>
        <w:rPr>
          <w:b w:val="0"/>
        </w:rPr>
        <w:t>All retrievals 2026-09-22 (OMIM 2026-09-24). Phenotype scope: thrombotic microangiopathy (TMA), thrombotic thrombocytopenic purpura (TTP), atypical/typical hemolytic uremic syndrome (aHUS/HUS), microangiopathic hemolytic anemia (MAHA), snakebite envenoming, and venom-induced consumption coagulopathy (VICC). snakebite envenoming/VICC have no entries in Open Targets, DisGeNET, or OMIM (verified); the snakebite-specific layer is therefore carried by the toxin–target edge table (SM.3).</w:t>
      </w:r>
    </w:p>
    <w:p>
      <w:pPr>
        <w:pStyle w:val="ListBullet"/>
      </w:pPr>
      <w:r>
        <w:t>Open Targets Platform (GraphQL API): 8 MONDO terms (TMA; TTP ×3; aHUS ×3; HUS), association score ≥ 0.05 → 2,014 records → 741 unique genes (backbone).</w:t>
      </w:r>
    </w:p>
    <w:p>
      <w:pPr>
        <w:pStyle w:val="ListBullet"/>
      </w:pPr>
      <w:r>
        <w:t>DISEASES (JensenLab knowledge file, curated channels UniProtKB-KW/MedlinePlus): 15 core genes, all overlapping.</w:t>
      </w:r>
    </w:p>
    <w:p>
      <w:pPr>
        <w:pStyle w:val="ListBullet"/>
      </w:pPr>
      <w:r>
        <w:t>GeneCards (manual browser export, six terms; per-term median score thresholds — TMA 1.39, aHUS 113.85, TTP 47.79, MAHA 107.24, snakebite 20.40, VICC 46.30): 1,356 unique genes, 698 above threshold, 1,075 newly merged.</w:t>
      </w:r>
    </w:p>
    <w:p>
      <w:pPr>
        <w:pStyle w:val="ListBullet"/>
      </w:pPr>
      <w:r>
        <w:t>DisGeNET (academic API, CURATED sources only; 16 UMLS CUIs incl. C2717961/C0034155/C2931788/C0019061; score ≥ 0.1): 46 unique genes, all already present; 2 entries (score ≥ 0.3) promoted to the core set.</w:t>
      </w:r>
    </w:p>
    <w:p>
      <w:pPr>
        <w:pStyle w:val="ListBullet"/>
      </w:pPr>
      <w:r>
        <w:t>CTD (batch query, manual export; disease whitelist: Snake Bites / aHUS / HUS / TTP incl. acquired / Thrombotic Microangiopathies / Anemia, Hemolytic to block CTD term expansion): direct-evidence genes → core (80 unique, 3 new); InferenceScore ≥ 50 → broad set (349 new); snakebite-envenoming term fully retained (57 genes, 13 new).</w:t>
      </w:r>
    </w:p>
    <w:p>
      <w:pPr>
        <w:pStyle w:val="ListBullet"/>
      </w:pPr>
      <w:r>
        <w:t>OMIM (API; 44 MIM entries from five phenotype terms, phenotype whitelist of 14 entries; mappingKey = 3 only): 15 genes, all already in the core set.</w:t>
      </w:r>
    </w:p>
    <w:p>
      <w:pPr>
        <w:spacing w:after="120"/>
      </w:pPr>
      <w:r>
        <w:rPr>
          <w:b w:val="0"/>
        </w:rPr>
        <w:t>Nine a priori four-axis molecules not covered by any source were force-included per the documented analysis plan: F2, F5, F10, FGG, PROC, VCAM1, ICAM1, SELE, HAVCR1 (sensitivity analysis in Table S6). Core-set rule: GeneCards ≥ per-term median ∪ OpenTargets score ≥ 0.3 ∪ present in ≥ 3 disease terms ∪ DISEASES curated ∪ DisGeNET ≥ 0.3 ∪ CTD direct ∪ OMIM (mappingKey 3) ∪ a priori molecules. Final library: 2,190 genes (core 1,042 / broad 1,148); all 27/27 a priori molecules are in the core set. Symbols were mapped to human UniProt AC with mygene (species=human).</w:t>
      </w:r>
    </w:p>
    <w:p>
      <w:pPr>
        <w:pStyle w:val="Heading2"/>
      </w:pPr>
      <w:r>
        <w:t>SM.3  Toxin–host edge mapping and four-tier evidence (Phase 2)</w:t>
      </w:r>
    </w:p>
    <w:p>
      <w:pPr>
        <w:spacing w:after="120"/>
      </w:pPr>
      <w:r>
        <w:rPr>
          <w:b w:val="0"/>
        </w:rPr>
        <w:t>Edges were built in four evidence tiers. L1 (curated interaction databases CTD/T3DB/BindingDB): 0 edges — CTD blocked programmatic access (ALTCHA) and no equivalent curated toxin–target rows exist for these toxins. L2 (literature-curated): 49 edges / 15 unique human targets, extracted from UniProt/Swiss-Prot curated FUNCTION annotations of the 63 entries (43 entries with target-related descriptions) plus targeted PubMed verification (PMIDs 27089306, 21356226, 18554518, 28042812, 36423674, 37092784, 28732041, 21871889, 18222185, 21802487); family-level edges are flagged (score 0.6) when a publication could not be assigned to a specific library entry. L3 (BLAST homology auxiliary): suspended (no local blastp; plan-labelled auxiliary only). L4 (STRING one-hop expansion): for the 15 direct targets, STRING API interaction_partners (H. sapiens, combined score ≥ 0.7, top 10) gave 105 unique neighbours → 398 edges. Total 447 edges / 112 unique targets. Entries without curated human targets are recorded as no-edge with reasons (CRISP ×4, LAAO ×2, chaperone PLA2 P31100, snaclec Q4PRC6–9/Q4PRD0).</w:t>
      </w:r>
    </w:p>
    <w:p>
      <w:pPr>
        <w:pStyle w:val="Heading2"/>
      </w:pPr>
      <w:r>
        <w:t>SM.4  Network construction, topology, and robustness (Phase 3)</w:t>
      </w:r>
    </w:p>
    <w:p>
      <w:pPr>
        <w:spacing w:after="120"/>
      </w:pPr>
      <w:r>
        <w:rPr>
          <w:b w:val="0"/>
        </w:rPr>
        <w:t>Intersection: 15 direct targets (L1+L2) ∩ 1,042 core disease genes → strict core of 10 (COL4A1, F10, F11, F5, FGA, GP1BA, KDR, PLG, PROC, PROS1). An extended sensitivity/topology layer was built as (strict core ∪ L4 STRING neighbours ∩ core set) = 54 nodes. PPI edges were exported from the STRING API (string-db.org/api, STRING v12.0, queried 2026-09-24) at combined score ≥ 0.7 (main; 321 edges) and ≥ 0.4 (sensitivity; 615 edges). Hub ranking used a Python re-implementation of cytoHubba Degree, MCC (maximal clique centrality) and EPC (edge percolated component; p = 0.5, 1,000 simulations, seed 42), Top-20 consensus → 10 hub genes. EPC had low discrimination on this dense coagulation network (scores converge; stated in Methods), so the consensus is driven by MCC/Degree. Robustness: targeted removal in static degree order (computed once on the full network) versus 100 random-removal shuffles (seed 1234); curves include k = 0 (LCC/N = 1.0) as the first point; at 27/54 nodes removed (50%), LCC = 0.241 (targeted) vs 0.480 ± 0.023 (random).</w:t>
      </w:r>
    </w:p>
    <w:p>
      <w:pPr>
        <w:pStyle w:val="Heading2"/>
      </w:pPr>
      <w:r>
        <w:t>SM.5  Dual-platform enrichment (Phase 4)</w:t>
      </w:r>
    </w:p>
    <w:p>
      <w:pPr>
        <w:spacing w:after="120"/>
      </w:pPr>
      <w:r>
        <w:rPr>
          <w:b w:val="0"/>
        </w:rPr>
        <w:t>Input: Hub 10 ∪ strict core 10 = 15 unique genes. Platform 1: g:Profiler g:GOSt (API, 2026-09-24; organism hsapiens; sources GO:BP/CC/MF + KEGG + Reactome; g:SCS correction, user threshold 0.05; no custom background) → 116 significant terms. Platform 2: Enrichr (KEGG_2021_Human, Reactome_2022, GO_Biological_Process_2023; BH correction) → 202 significant terms. Cross-platform correspondences are theme-level (not identical term IDs); nine themes matched by keyword. A re-run of the 15-gene g:Profiler query on 2026-10-02 reproduced the archived 116-term set exactly (reproducibility check, Table S6).</w:t>
      </w:r>
    </w:p>
    <w:p>
      <w:pPr>
        <w:pStyle w:val="Heading2"/>
      </w:pPr>
      <w:r>
        <w:t>SM.6  Structure validation and small-molecule docking (Phase 5)</w:t>
      </w:r>
    </w:p>
    <w:p>
      <w:pPr>
        <w:spacing w:after="120"/>
      </w:pPr>
      <w:r>
        <w:rPr>
          <w:b w:val="0"/>
        </w:rPr>
        <w:t>Structures (Table S7): experimental PDB entries 2E3X (RVV-X heavy chain), 3S9C (RVV-Vγ–FV complex), 1KPM (PLA2), 1WQ9 (svVEGF), 2W26 (FXa), 7KVE (FV), 3GHG (fibrinogen fragment), 3V2A (VEGFR2), 1QRZ (plasmin), 1PPB; AlphaFold models (pLDDT &gt; 70 rule) for daborhagin-K, Kunitz inhibitor, snaclec, and 1M10 was used only before retraction (see below). ClusPro (Balanced mode, blind docking): pre-specified acceptance = top-1 cluster ≥ 30 members; 7/7 pairs passed (59–190). HADDOCK 2.4 (biochemical AIR restraints; interface cutoff 5 Å): pre-specified double pass = score ≤ −100 and functional-site coverage; P2 passed both (score −144.9 ± 4.4, Z = −1.4, 6/6); P1/P3/P6 achieved restraint orientation (nearest restraint distance 1.8–7.8 Å) without reaching the score threshold and are reported as site-orientation evidence only. HDock (template docking, P7): confidence 0.8969 (&gt; 0.7), 21/26 reference-interface coverage, receptor superposition on 3V2A RMSD 0.000 Å. Orthogonal descriptors (post hoc, labelled): iMODS NMA mobility ratios and PRODIGY ΔG/Kd for the 7 pairs.</w:t>
      </w:r>
    </w:p>
    <w:p>
      <w:pPr>
        <w:spacing w:after="120"/>
      </w:pPr>
      <w:r>
        <w:rPr>
          <w:b w:val="0"/>
        </w:rPr>
        <w:t>Retraction note: pair P4 (snaclec × "GP1BA") was withdrawn on 2026-10-02 after the receptor chain was found misidentified — 1M10 chain A is the VWF-A1 domain, not GP1BA; the pair is removed from the evidence chain (manuscript protocol-deviation table; Fig. 6 panel D blanked).</w:t>
      </w:r>
    </w:p>
    <w:p>
      <w:pPr>
        <w:spacing w:after="120"/>
      </w:pPr>
      <w:r>
        <w:rPr>
          <w:b w:val="0"/>
        </w:rPr>
        <w:t>Small molecules (Table S8): AutoDock Vina 1.2.7 + Meeko 0.8.0; ligands from PubChem 3D (batimastat CID 5362422, marimastat CID 119031, varespladib CID 155815); receptors RVVX_A (2E3X chain A, catalytic Zn retained, +2), daborhaginK (AlphaFold + modelled Zn at His339/343/349 — arm not trusted), PLA2_1KPM (chain A, grid centred on His48/Asp49); grid box 26 × 26 × 26 Å (centres in Table S8), exhaustiveness = 8, num_modes = 9, default seed. Hydroxamate Zn-chelation geometry was verified on the top poses (Table S8).</w:t>
      </w:r>
    </w:p>
    <w:p>
      <w:pPr>
        <w:pStyle w:val="Heading2"/>
      </w:pPr>
      <w:r>
        <w:t>SM.7  GEO transcriptome re-analysis (v41 canonical pipeline)</w:t>
      </w:r>
    </w:p>
    <w:p>
      <w:pPr>
        <w:spacing w:after="120"/>
      </w:pPr>
      <w:r>
        <w:rPr>
          <w:b w:val="0"/>
        </w:rPr>
        <w:t>GSE121297 (human HUVEC × rhodocetin-αβ; Affymetrix HG-U133 Plus 2.0 / GPL570): static RCab (GSM3430997–99) vs static control (GSM3430994–96), 3 vs 3; the 80-rpm arm was not used. GSE248215 (mouse skeletal muscle, D. russelii venom 30 µg in vivo; NanoString Fibrosis V2, 760 genes): DR 24 h (3) vs PBS control (2); author-normalised log2 matrix used. Differential expression: Welch’s t-tests in Python with Benjamini–Hochberg correction (script geo_v41_reanalysis.py). Probe handling: one fixed probe per gene, highest mean across the six contrast samples chosen before testing; a probe mapping to several symbols contributes to each symbol → 22,453 genes. An earlier archived run (21,183 genes; multi-symbol probe conflicts resolved differently) gives identical log2FC/raw P for all shared genes and the same conclusion: 0 genes at BH-adjusted P &lt; 0.05 in either dataset. All interpretation is nominal, exploratory, and labelled as such; the two tissues are not combined into a single validation cohort.</w:t>
      </w:r>
    </w:p>
    <w:p>
      <w:pPr>
        <w:pStyle w:val="Heading2"/>
      </w:pPr>
      <w:r>
        <w:t>SM.8  Protocol deviations (mirrors manuscript Table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Original documented plan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Final analysis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Reason for change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Results seen before change?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Hypotheses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H1 SVMP–VWF/ADAMTS13 dominant; H2 complement &amp; endothelial enrichment; exploratory H3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H1 coagulation/platelet prominence; H2 complement as secondary host response; H3 dropped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Intersection and enrichment results motivated reformulation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Yes — reformulated hypotheses are post hoc and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Module screening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MCODE cluster screening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MCC/Degree/EPC Top-20 consensus (re-implementation)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MCODE step not executed in the final pipeline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Docking controls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3–5 negative docking pairs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Not performed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Resource constraints; listed as a limitation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Enrichment platforms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Metascape + clusterProfiler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g:Profiler + Enrichr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Web-platform accessibility and full-request auditability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GEO statistics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limma (R)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Welch’s t-tests + BH in Python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Python-only analysis environment; method renamed accordingly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Orthogonal corroboration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Not planned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PRODIGY + iMODS model-property descriptors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Added during revision; reported as post hoc descriptors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Yes (post hoc addition)</w:t>
            </w:r>
          </w:p>
        </w:tc>
      </w:tr>
    </w:tbl>
    <w:p>
      <w:pPr>
        <w:pStyle w:val="Heading2"/>
      </w:pPr>
      <w:r>
        <w:t>SM.9  Reproducibility manifest</w:t>
      </w:r>
    </w:p>
    <w:p>
      <w:pPr>
        <w:pStyle w:val="ListBullet"/>
      </w:pPr>
      <w:r>
        <w:t>Environment: Python 3.12 (pandas, numpy, scipy, matplotlib, seaborn, networkx, openpyxl); web services — ClusPro, HADDOCK 2.4, HDock, iMODS, PRODIGY, g:Profiler, Enrichr, STRING v12.0; AutoDock Vina 1.2.7 + Meeko 0.8.0; PyMOL (figures); Cytoscape 3.x (Fig. 5 rendering).</w:t>
      </w:r>
    </w:p>
    <w:p>
      <w:pPr>
        <w:pStyle w:val="ListBullet"/>
      </w:pPr>
      <w:r>
        <w:t>Fixed random seeds: 1234 (robustness shuffles), 42 (EPC percolation); all pipeline scripts under scripts/ and phase directories; reproduction order (14 steps) in the repository README.</w:t>
      </w:r>
    </w:p>
    <w:p>
      <w:pPr>
        <w:pStyle w:val="ListBullet"/>
      </w:pPr>
      <w:r>
        <w:t>Archive: GitHub https://github.com/Wenhui-cangku/snakebite-TMA-network-toxicology · Zenodo concept DOI 10.5281/zenodo.23065792 (resolves to the latest release) · large raw files dataset 10.5281/zenodo.23087108.</w:t>
      </w:r>
    </w:p>
    <w:p>
      <w:pPr>
        <w:pStyle w:val="ListBullet"/>
      </w:pPr>
      <w:r>
        <w:t>Change log: version-by-version record v1–v47 (CHANGELOG.csv in the repository; public copy of the data-management table in 00_protocol/).</w:t>
      </w:r>
    </w:p>
    <w:p>
      <w:pPr>
        <w:pStyle w:val="ListBullet"/>
      </w:pPr>
      <w:r>
        <w:t>Reproducibility checks passed: 15-gene g:Profiler rerun = archived 116 terms (2026-10-02); robustness script rerun reproduces archived curves value-by-value; GEO script reproduces the canonical 22,453-gene table.</w:t>
      </w:r>
    </w:p>
    <w:p>
      <w:r>
        <w:br w:type="page"/>
      </w:r>
    </w:p>
    <w:p>
      <w:pPr>
        <w:pStyle w:val="Heading1"/>
      </w:pPr>
      <w:r>
        <w:t>Supplementary Tables S1–S10</w:t>
      </w:r>
    </w:p>
    <w:p>
      <w:pPr>
        <w:spacing w:after="200"/>
      </w:pPr>
      <w:r>
        <w:rPr>
          <w:b w:val="0"/>
        </w:rPr>
        <w:t>Full machine-readable tables are provided in the companion workbook Supplementary_Tables_S1-S10.xlsx (one sheet per table; sheet names in parentheses). Key tables are also reproduced inline below when compact.</w:t>
      </w:r>
    </w:p>
    <w:p>
      <w:r>
        <w:rPr>
          <w:b/>
        </w:rPr>
        <w:t xml:space="preserve">Table S1. Venom-toxin master table (sheet S1_Toxin_master; 63 entries). </w:t>
      </w:r>
      <w:r>
        <w:t>entry_id, toxin_name, toxin_family, UniProt/GenBank ID, entry_name, species, sequence length, source (incl. unreviewed/NCBI flags), cluster ID (40 clusters, 90% identity), structure status (PDB/AlphaFold/none), family-level venom abundance weight (%), inclusion status and exclusion reason, download date. Companion FASTA files (all_toxins_raw.fasta, toxins_nr90.fasta) are in the Zenodo raw dataset. Cited in Methods §2.1 and Fig. 1.</w:t>
      </w:r>
    </w:p>
    <w:p>
      <w:r>
        <w:rPr>
          <w:b/>
        </w:rPr>
        <w:t xml:space="preserve">Table S2. Integrated disease-gene library (sheet S2_Disease_genes; 2,190 records). </w:t>
      </w:r>
      <w:r>
        <w:t>gene_symbol, UniProt AC, Entrez ID, per-source evidence (GeneCards score, DisGeNET score, OMIM yes/no, CTD inference, OpenTargets score, OT disease count, DISEASES curated), core-set flag (1,042 core / 1,148 broad), pathology-axis assignment (1–4), source query terms, download date. Cited in Methods §2.2 and Fig. 2.</w:t>
      </w:r>
    </w:p>
    <w:p>
      <w:r>
        <w:rPr>
          <w:b/>
        </w:rPr>
        <w:t xml:space="preserve">Table S3. Toxin–host edge table with four-tier evidence (sheet S3_Toxin_target_edges; 447 edges). </w:t>
      </w:r>
      <w:r>
        <w:t>toxin_id, toxin_ac, family, target_symbol, evidence_type (L2 literature-curated / L4 STRING neighbour), evidence_detail (effect direction, isoform/complex notes, experimental context, or “via &lt;target&gt;” for L4), PMIDs, evidence score, download date. L1 = 0 and L3 suspended (SM.3). Cited in Methods §2.3 and Figs. 2–5.</w:t>
      </w:r>
    </w:p>
    <w:p>
      <w:r>
        <w:rPr>
          <w:b/>
        </w:rPr>
        <w:t xml:space="preserve">Table S4. Full three-algorithm hub ranking (sheet S4_Hub_full_ranking; 54 nodes). </w:t>
      </w:r>
      <w:r>
        <w:t>Degree, MCC, and EPC scores with competition ranks (ties share the minimum rank, reported in full) for every node of the extended layer, plus hub-10 / strict-core-10 flags and pathology-axis labels. Network settings in SM.4; EPC low-discrimination note applies. Cited in Results (hub analysis) and Table 2.</w:t>
      </w:r>
    </w:p>
    <w:p>
      <w:pPr>
        <w:spacing w:after="40"/>
      </w:pPr>
      <w:r>
        <w:rPr>
          <w:b w:val="0"/>
        </w:rPr>
        <w:t>Hub-10 excerpt (full 54-node ranking in the workbook):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gene_symbol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Degree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MCC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EPC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pathology_axis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strict_core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1506956.0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Axis2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(extension layer)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1502082.0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(extension layer)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ALB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12158.0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(extension layer)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1451808.0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(extension layer)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1493280.0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(extension layer)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PLG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20030.0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Axis2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1130700.0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Axis2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FGA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13230.0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Axis2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1497144.0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Axis2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725838.0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Axis2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</w:tr>
    </w:tbl>
    <w:p/>
    <w:p>
      <w:r>
        <w:rPr>
          <w:b/>
        </w:rPr>
        <w:t xml:space="preserve">Table S5. Enrichment results (sheets S5a_gProfiler, S5b_Enrichr, S5c_Prior_pathways). </w:t>
      </w:r>
      <w:r>
        <w:t>S5a: all 116 g:Profiler terms significant at g:SCS &lt; 0.05 (15-gene input) with term IDs, sizes and driver genes. S5b: all 424 Enrichr rows across the three libraries, including non-significant terms (rank, P, BH q, overlap, genes). S5c: the seven a priori pathway tests on both platforms with conclusions and driver genes. Cited in Results §3.4 and Fig. 4 / Table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prior_pathway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g:Profiler (platform 1)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Enrichr (platform 2)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notes/driver_genes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hsa04610 Complement and coagulation cascades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KEGG p=3.90e-18 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adj=1.63e-22 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significant on both platforms ✓✓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11 driver genes are on the coagulation/fibrinolysis arm (F2/F3/F5/F7/F8/F10/FGA/PLG/PROC/F11/PROS1); zero genes on the complement arm — key point for H2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hsa04611 Platelet activation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REAC equivalent term p=1.47e-07 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adj=1.45e-03 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significant on both platforms ✓✓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GP1BA/ALB/F2/F5/F8/FGA/PLG/PROS1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ECM–receptor interaction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did not reach g:SCS&lt;0.05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adj=1.81e-02 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single platform (Enrichr)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driven by COL4A1 et 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Focal adhesion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did not reach g:SCS&lt;0.05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adj=4.68e-02 ✓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single platform (Enrichr, borderline)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PI3K–Akt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significant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adj=9.08e-02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significant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NF-κB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significant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such term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significant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Axis-4 inflammatory dimension has no support on the 15-gene core set; recorded as-is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Fluid shear stress &amp; atherosclerosis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significant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adj=1.52e-01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significant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b/>
        </w:rPr>
        <w:t xml:space="preserve">Table S6. Sensitivity analysis without forced inclusion (sheets S6_Sensitivity, S6_gProfiler_11genes). </w:t>
      </w:r>
      <w:r>
        <w:t>Documents the effect of removing the nine force-included a priori genes: input sets, disease-set sizes (1,042 → 1,033 core), strict-core/hub composition, and a full g:Profiler rerun on the 11-gene input (93 terms). The dominant coagulation/platelet theme is qualitatively stable (fibrin clot 7/11, P = 3.8e-13; KEGG:04610 7/11, P = 1.4e-10); gamma-carboxylation becomes marginal. The sheet also records the 15-gene reproducibility rerun (116/116 terms identical). Cited in Results §3.2.</w:t>
      </w:r>
    </w:p>
    <w:p>
      <w:r>
        <w:rPr>
          <w:b/>
        </w:rPr>
        <w:t xml:space="preserve">Table S7. Structure-validation summary (sheets S7_Docking, S7_iMODS_PRODIGY). </w:t>
      </w:r>
      <w:r>
        <w:t>Seven toxin–host pairs across ClusPro (blind, Balanced), HADDOCK 2.4 (AIR-restrained) and HDock (template): cluster sizes, energies/scores, Z-scores, interface residue counts, functional-site coverage, restraint distances, and verdicts, plus the iMODS/PRODIGY orthogonal descriptors. The retracted P4 pair is listed as a marked retraction row. AIR restraint files, PDB/mmCIF inputs and output models are in the Zenodo raw dataset. Cited in Results §3.5–3.6, Figs. 6–7, Tables 4–5.</w:t>
      </w:r>
    </w:p>
    <w:p>
      <w:pPr>
        <w:spacing w:after="40"/>
      </w:pPr>
      <w:r>
        <w:rPr>
          <w:b w:val="0"/>
        </w:rPr>
        <w:t>Compact view of the iMODS/PRODIGY orthogonal descriptors (full ClusPro/HADDOCK/HDock metrics and notes in the workbook):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pair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complex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PRODIGY ΔG (kcal/mol)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Kd (M)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iMODS λ1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interface_residues(5Å)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interface/rest_mobility_ratio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RVV-X×FXa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-13.8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8e-11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2.864e-05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RVV-Vγ×FV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-11.7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2.8e-09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2.671e-05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0.88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dabK×FIB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-15.2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7e-12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2.605e-07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0.78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snaclec×GP1BA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-9.2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1.9e-07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1.004e-06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PLA2×FXa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-13.7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8.5e-11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0.0002564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Kunitz×plasmin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-10.7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1.5e-08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1.485e-05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svVEGF×VEGFR2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-12.1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1.3e-09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6.553e-05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0.52</w:t>
            </w:r>
          </w:p>
        </w:tc>
      </w:tr>
    </w:tbl>
    <w:p/>
    <w:p>
      <w:r>
        <w:rPr>
          <w:b/>
        </w:rPr>
        <w:t xml:space="preserve">Table S8. Small-molecule docking (sheet S8_Small_molecule). </w:t>
      </w:r>
      <w:r>
        <w:t>Nine receptor × ligand results (batimastat/marimastat/varespladib × RVV-X/daborhagin-K/PLA2): best Vina affinities, count of modes ≤ −7.5 kcal/mol, grid centres (26 Å box), and the Zn-chelation geometry check; the daborhagin-K AlphaFold + modelled-Zn arm is marked not trusted. Settings in SM.6. Cited in Results §3.7 and Fig. 8.</w:t>
      </w:r>
    </w:p>
    <w:p>
      <w:r>
        <w:rPr>
          <w:b/>
        </w:rPr>
        <w:t xml:space="preserve">Table S9. GEO re-analysis (sheets S9a_GEO_samples, S9b_GSE121297_DEG, S9c_GSE248215_DEG, S9d_GEO_watchlist). </w:t>
      </w:r>
      <w:r>
        <w:t>S9a: sample tables and contrast design (GSM IDs, titles, platforms, groups used). S9b/S9c: full per-gene Welch + BH tables (22,453 and 760 genes; v41 canonical fixed-probe pipeline). S9d: the 35-molecule a priori watchlist across both datasets (log2FC, P, significance flags; ALB and COL4A1 not measured by either platform). Cited in Results §3.8, Figs. 9–10, Table 6.</w:t>
      </w:r>
    </w:p>
    <w:p>
      <w:r>
        <w:rPr>
          <w:b/>
        </w:rPr>
        <w:t xml:space="preserve">Table S10. Network robustness (sheets S10_Robustness, S10_Removal_order). </w:t>
      </w:r>
      <w:r>
        <w:t>k = 0…54 removal axis (k = 0 included); the static-degree targeted curve, all 100 per-run random-removal curves (seed 1234), and mean ± SD columns; the targeted removal order with degrees. Regeneration script: 04_network/robustness_analysis_v41.py. Cited in Results §3.9 and Fig. 11.</w:t>
      </w:r>
    </w:p>
    <w:p>
      <w:pPr>
        <w:pStyle w:val="Heading1"/>
      </w:pPr>
      <w:r>
        <w:t>Companion data files</w:t>
      </w:r>
    </w:p>
    <w:p>
      <w:pPr>
        <w:pStyle w:val="ListBullet"/>
      </w:pPr>
      <w:r>
        <w:t>Zenodo raw dataset (10.5281/zenodo.23087108): toxin FASTA files; PDB/mmCIF docking inputs and output models (ClusPro/HADDOCK/HDock); GEO raw matrices and GPL570 probe annotation; iMODS/PRODIGY raw outputs; CTD raw TSV exports; file inventory in README_DATA.md inside the zip.</w:t>
      </w:r>
    </w:p>
    <w:p>
      <w:pPr>
        <w:pStyle w:val="ListBullet"/>
      </w:pPr>
      <w:r>
        <w:t>Code + result tables: GitHub repository and Zenodo software archive (concept DOI 10.5281/zenodo.23065792, resolving to the latest release), including the change log (v1–v47) and the public data-management table.</w:t>
      </w:r>
    </w:p>
    <w:p>
      <w:pPr>
        <w:pStyle w:val="ListBullet"/>
      </w:pPr>
      <w:r>
        <w:t>Cytoscape session files for Fig. 5 (cyjs/xgmml) and the vector SVG export: included in this package as Figure5_4layer_network.svg; source session files in repository 04_network/cytoscape/.</w:t>
      </w:r>
    </w:p>
    <w:p>
      <w:pPr>
        <w:pStyle w:val="ListBullet"/>
      </w:pPr>
      <w:r>
        <w:t>Operational SOP for future MD/free-energy work (planned, not executed): repository 08_md/MD_SOP.md — explicitly a future-work protocol, not completed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