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5F440A41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146607EC" w14:textId="56DDE5B0" w:rsidR="00361E82" w:rsidRPr="00361E82" w:rsidRDefault="00361E82" w:rsidP="00361E82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4" w:name="_Hlk163338060"/>
      <w:r>
        <w:rPr>
          <w:rFonts w:ascii="Times New Roman" w:hAnsi="Times New Roman"/>
          <w:b/>
          <w:bCs/>
          <w:i w:val="0"/>
          <w:iCs/>
          <w:color w:val="auto"/>
          <w:szCs w:val="28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.5.6.2.4.6. </w:t>
      </w:r>
      <w:r w:rsidRPr="00361E82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газо- и дымоудаления</w:t>
      </w:r>
    </w:p>
    <w:p w14:paraId="294A929F" w14:textId="77777777" w:rsidR="00361E82" w:rsidRPr="00617F42" w:rsidRDefault="00361E82" w:rsidP="00361E8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обеспечивает эвакуацию газов и дыма из помещений налоговой в случае пожара или другой аварийной ситуации. Включает в себя системы вентиляции, дымоудаления и аварийных выходов для эвакуации персонала.</w:t>
      </w:r>
    </w:p>
    <w:bookmarkEnd w:id="124"/>
    <w:p w14:paraId="5F18D867" w14:textId="77777777" w:rsidR="00361E82" w:rsidRDefault="00361E82" w:rsidP="00E6307A">
      <w:pPr>
        <w:rPr>
          <w:rFonts w:ascii="Times New Roman" w:hAnsi="Times New Roman"/>
          <w:i w:val="0"/>
          <w:iCs/>
        </w:rPr>
      </w:pPr>
    </w:p>
    <w:p w14:paraId="43DA0C44" w14:textId="77777777" w:rsidR="00FD40AF" w:rsidRPr="00617F42" w:rsidRDefault="00FD40AF" w:rsidP="00FD40AF">
      <w:pPr>
        <w:pStyle w:val="1"/>
        <w:numPr>
          <w:ilvl w:val="0"/>
          <w:numId w:val="17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25" w:name="_Hlk163338096"/>
      <w:r w:rsidRPr="00617F42">
        <w:rPr>
          <w:iCs/>
          <w:sz w:val="28"/>
          <w:szCs w:val="28"/>
        </w:rPr>
        <w:lastRenderedPageBreak/>
        <w:t>СОСТАВ И СОДЕРЖАНИЕ РАБОТ ПО СОЗДАНИЮ СИСТЕМЫ</w:t>
      </w:r>
    </w:p>
    <w:p w14:paraId="1F1577B4" w14:textId="5E3D2509" w:rsidR="00FD40AF" w:rsidRPr="00617F42" w:rsidRDefault="00FD40AF" w:rsidP="00FD40AF">
      <w:pPr>
        <w:pStyle w:val="2"/>
        <w:numPr>
          <w:ilvl w:val="1"/>
          <w:numId w:val="1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26" w:name="__RefHeading__606_1516621224"/>
      <w:bookmarkStart w:id="127" w:name="__RefHeading__243_1516621224"/>
      <w:bookmarkStart w:id="128" w:name="_Hlk163338144"/>
      <w:bookmarkEnd w:id="125"/>
      <w:bookmarkEnd w:id="126"/>
      <w:bookmarkEnd w:id="127"/>
      <w:r w:rsidRPr="00617F42">
        <w:rPr>
          <w:rFonts w:cs="Times New Roman"/>
          <w:sz w:val="28"/>
        </w:rPr>
        <w:t>Перечень фаз по созданию Системы</w:t>
      </w:r>
    </w:p>
    <w:p w14:paraId="159DF68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Анализ требований </w:t>
      </w:r>
    </w:p>
    <w:p w14:paraId="680867F8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Проектирование системы </w:t>
      </w:r>
    </w:p>
    <w:p w14:paraId="258992C0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тестирование </w:t>
      </w:r>
    </w:p>
    <w:p w14:paraId="29CF9AA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Внедрение и обучение персонала</w:t>
      </w:r>
    </w:p>
    <w:bookmarkEnd w:id="128"/>
    <w:p w14:paraId="411B6495" w14:textId="77777777" w:rsidR="00FD40AF" w:rsidRDefault="00FD40AF" w:rsidP="00E6307A">
      <w:pPr>
        <w:rPr>
          <w:rFonts w:ascii="Times New Roman" w:hAnsi="Times New Roman"/>
          <w:i w:val="0"/>
          <w:iCs/>
        </w:rPr>
      </w:pPr>
    </w:p>
    <w:p w14:paraId="596BD7D8" w14:textId="487A9776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29" w:name="_Hlk163338177"/>
      <w:r w:rsidRPr="00E14462">
        <w:rPr>
          <w:rFonts w:cs="Times New Roman"/>
          <w:sz w:val="28"/>
        </w:rPr>
        <w:t xml:space="preserve">5.2 </w:t>
      </w:r>
      <w:r w:rsidRPr="00E14462">
        <w:rPr>
          <w:rFonts w:cs="Times New Roman"/>
          <w:sz w:val="28"/>
        </w:rPr>
        <w:t>Перечень организаций – исполнителей работ</w:t>
      </w:r>
      <w:r w:rsidRPr="00E14462">
        <w:rPr>
          <w:szCs w:val="24"/>
        </w:rPr>
        <w:t xml:space="preserve">- </w:t>
      </w:r>
    </w:p>
    <w:p w14:paraId="6E52E66E" w14:textId="221170F8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b w:val="0"/>
          <w:bCs w:val="0"/>
          <w:szCs w:val="24"/>
        </w:rPr>
      </w:pPr>
      <w:r w:rsidRPr="00E14462">
        <w:rPr>
          <w:b w:val="0"/>
          <w:bCs w:val="0"/>
          <w:szCs w:val="24"/>
        </w:rPr>
        <w:t>-</w:t>
      </w:r>
      <w:r w:rsidRPr="00E14462">
        <w:rPr>
          <w:b w:val="0"/>
          <w:bCs w:val="0"/>
          <w:szCs w:val="24"/>
        </w:rPr>
        <w:t xml:space="preserve">Команда разработчиков </w:t>
      </w:r>
    </w:p>
    <w:p w14:paraId="7D5EFB40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Инженеры по установке оборудования </w:t>
      </w:r>
    </w:p>
    <w:p w14:paraId="3FD9B8AA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Специалисты по безопасности информации</w:t>
      </w:r>
    </w:p>
    <w:p w14:paraId="3D6244CF" w14:textId="3E49C491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30" w:name="__RefHeading__610_1516621224"/>
      <w:bookmarkStart w:id="131" w:name="__RefHeading__247_1516621224"/>
      <w:bookmarkStart w:id="132" w:name="_Hlk163338211"/>
      <w:bookmarkEnd w:id="129"/>
      <w:bookmarkEnd w:id="130"/>
      <w:bookmarkEnd w:id="131"/>
      <w:r>
        <w:rPr>
          <w:rFonts w:cs="Times New Roman"/>
          <w:sz w:val="28"/>
          <w:lang w:val="en-US"/>
        </w:rPr>
        <w:t xml:space="preserve">5.3 </w:t>
      </w:r>
      <w:r w:rsidRPr="00E14462">
        <w:rPr>
          <w:rFonts w:cs="Times New Roman"/>
          <w:sz w:val="28"/>
        </w:rPr>
        <w:t>Гарантийное сопровождение</w:t>
      </w:r>
    </w:p>
    <w:p w14:paraId="5147C5F1" w14:textId="12E38497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r w:rsidRPr="00E14462">
        <w:rPr>
          <w:szCs w:val="24"/>
        </w:rPr>
        <w:t>- Предоставление гарантийного обслуживания и технической поддержки после внедрения системы</w:t>
      </w:r>
    </w:p>
    <w:p w14:paraId="49818072" w14:textId="73AA570C" w:rsidR="00E14462" w:rsidRPr="00617F42" w:rsidRDefault="00E14462" w:rsidP="00E14462">
      <w:pPr>
        <w:pStyle w:val="2"/>
        <w:numPr>
          <w:ilvl w:val="1"/>
          <w:numId w:val="18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33" w:name="__RefHeading__612_1516621224"/>
      <w:bookmarkStart w:id="134" w:name="__RefHeading__249_1516621224"/>
      <w:bookmarkStart w:id="135" w:name="_Hlk163338238"/>
      <w:bookmarkEnd w:id="132"/>
      <w:bookmarkEnd w:id="133"/>
      <w:bookmarkEnd w:id="134"/>
      <w:r w:rsidRPr="00617F42">
        <w:rPr>
          <w:rFonts w:cs="Times New Roman"/>
          <w:sz w:val="28"/>
        </w:rPr>
        <w:t>Техническая поддержка</w:t>
      </w:r>
    </w:p>
    <w:p w14:paraId="082983B6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Круглосуточная поддержка пользователей - Обновление программного обеспечения и оборудования</w:t>
      </w:r>
    </w:p>
    <w:bookmarkEnd w:id="135"/>
    <w:p w14:paraId="00F0F03B" w14:textId="77777777" w:rsidR="00E14462" w:rsidRDefault="00E14462" w:rsidP="00E6307A">
      <w:pPr>
        <w:rPr>
          <w:rFonts w:ascii="Times New Roman" w:hAnsi="Times New Roman"/>
          <w:i w:val="0"/>
          <w:iCs/>
        </w:rPr>
      </w:pPr>
    </w:p>
    <w:p w14:paraId="0EAE92AE" w14:textId="77777777" w:rsidR="00056BA8" w:rsidRPr="00617F42" w:rsidRDefault="00056BA8" w:rsidP="00056BA8">
      <w:pPr>
        <w:pStyle w:val="1"/>
        <w:numPr>
          <w:ilvl w:val="0"/>
          <w:numId w:val="19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36" w:name="_Hlk163338268"/>
      <w:r w:rsidRPr="00617F42">
        <w:rPr>
          <w:iCs/>
          <w:sz w:val="28"/>
          <w:szCs w:val="28"/>
        </w:rPr>
        <w:lastRenderedPageBreak/>
        <w:t>ПОРЯДОК КОНТРОЛЯ И ПРИЕМКИ</w:t>
      </w:r>
    </w:p>
    <w:p w14:paraId="5A3DDE53" w14:textId="77777777" w:rsidR="00056BA8" w:rsidRPr="00617F42" w:rsidRDefault="00056BA8" w:rsidP="00056BA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1286EA13" w14:textId="77777777" w:rsidR="00056BA8" w:rsidRPr="00A93A91" w:rsidRDefault="00056BA8" w:rsidP="00056BA8">
      <w:pPr>
        <w:jc w:val="left"/>
        <w:rPr>
          <w:rFonts w:ascii="Times New Roman" w:hAnsi="Times New Roman"/>
          <w:i w:val="0"/>
          <w:iCs/>
          <w:sz w:val="24"/>
          <w:szCs w:val="24"/>
        </w:rPr>
        <w:sectPr w:rsidR="00056BA8" w:rsidRPr="00A93A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  <w:r w:rsidRPr="00A93A91">
        <w:rPr>
          <w:rFonts w:ascii="Times New Roman" w:hAnsi="Times New Roman"/>
          <w:i w:val="0"/>
          <w:iCs/>
          <w:sz w:val="24"/>
          <w:szCs w:val="24"/>
        </w:rPr>
        <w:t>Процесс контроля и приемки системы автоматизации покупки билетов в кинотеатрах будет включать в себя следующие этапы: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Функциональное тестирование</w:t>
      </w:r>
      <w:proofErr w:type="gramStart"/>
      <w:r w:rsidRPr="00A93A91">
        <w:rPr>
          <w:rFonts w:ascii="Times New Roman" w:hAnsi="Times New Roman"/>
          <w:i w:val="0"/>
          <w:iCs/>
          <w:sz w:val="24"/>
          <w:szCs w:val="24"/>
        </w:rPr>
        <w:t>: На</w:t>
      </w:r>
      <w:proofErr w:type="gramEnd"/>
      <w:r w:rsidRPr="00A93A91">
        <w:rPr>
          <w:rFonts w:ascii="Times New Roman" w:hAnsi="Times New Roman"/>
          <w:i w:val="0"/>
          <w:iCs/>
          <w:sz w:val="24"/>
          <w:szCs w:val="24"/>
        </w:rPr>
        <w:t xml:space="preserve"> этом этапе, основные функциональности системы будут проверены на соответствие требованиям. Это включает в себя, но не ограничивается: процесс выбора сеанса, выбора мест, транзакции оплаты и получение электронного билета.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Интеграционное тестирование: Этап проверки взаимодействия системы с другими системами и устройствами, включая кассовые аппараты, системы онлайн-оплаты, и другие внешние системы.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Нагрузочное тестирование: На этом этапе проверяется, насколько хорошо система ответит на высокий объем запросов без потери производительности или стабильности.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Приемочное тестирование: После успешного прохождения всех предыдущих этапов, система должна быть протестирована в "реальных" условиях работы. Это может включать в себя цикл операций, подобный предполагаемому реальному использованию, например покупка билетов большой группой людей.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 xml:space="preserve">После успешного прохождения этапа приемочного тестирования, система будет считаться готовой к полноценной работе. </w:t>
      </w:r>
    </w:p>
    <w:bookmarkEnd w:id="136"/>
    <w:p w14:paraId="34FB5427" w14:textId="7CA5D533" w:rsidR="00056BA8" w:rsidRPr="007672FA" w:rsidRDefault="00056BA8" w:rsidP="00E6307A">
      <w:pPr>
        <w:rPr>
          <w:rFonts w:ascii="Times New Roman" w:hAnsi="Times New Roman"/>
          <w:i w:val="0"/>
          <w:iCs/>
        </w:rPr>
        <w:sectPr w:rsidR="00056BA8" w:rsidRPr="007672F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A988" w14:textId="77777777" w:rsidR="001D3576" w:rsidRDefault="001D3576">
      <w:r>
        <w:separator/>
      </w:r>
    </w:p>
  </w:endnote>
  <w:endnote w:type="continuationSeparator" w:id="0">
    <w:p w14:paraId="5EB4F4AA" w14:textId="77777777" w:rsidR="001D3576" w:rsidRDefault="001D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E56A" w14:textId="77777777" w:rsidR="00056BA8" w:rsidRDefault="00056B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3286" w14:textId="77777777" w:rsidR="00056BA8" w:rsidRDefault="00056B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51FE" w14:textId="77777777" w:rsidR="00056BA8" w:rsidRDefault="00056BA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804F2" w14:textId="77777777" w:rsidR="001D3576" w:rsidRDefault="001D3576">
      <w:r>
        <w:separator/>
      </w:r>
    </w:p>
  </w:footnote>
  <w:footnote w:type="continuationSeparator" w:id="0">
    <w:p w14:paraId="45CCB555" w14:textId="77777777" w:rsidR="001D3576" w:rsidRDefault="001D3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9F29" w14:textId="77777777" w:rsidR="00056BA8" w:rsidRDefault="00056B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9B8B" w14:textId="77777777" w:rsidR="00056BA8" w:rsidRDefault="00056BA8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7D0C" w14:textId="77777777" w:rsidR="00056BA8" w:rsidRDefault="00056BA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776703"/>
    <w:multiLevelType w:val="hybridMultilevel"/>
    <w:tmpl w:val="523AD3DE"/>
    <w:lvl w:ilvl="0" w:tplc="3DB0DBD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7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68D91DBD"/>
    <w:multiLevelType w:val="multilevel"/>
    <w:tmpl w:val="3F540D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abstractNum w:abstractNumId="12" w15:restartNumberingAfterBreak="0">
    <w:nsid w:val="7E9151E1"/>
    <w:multiLevelType w:val="multilevel"/>
    <w:tmpl w:val="D5829A0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5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56BA8"/>
    <w:rsid w:val="000E3DB3"/>
    <w:rsid w:val="001429F7"/>
    <w:rsid w:val="00162496"/>
    <w:rsid w:val="00172287"/>
    <w:rsid w:val="00183894"/>
    <w:rsid w:val="001937B1"/>
    <w:rsid w:val="001D3576"/>
    <w:rsid w:val="002B37BD"/>
    <w:rsid w:val="00361E82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141B"/>
    <w:rsid w:val="008D7D95"/>
    <w:rsid w:val="008E54EE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14462"/>
    <w:rsid w:val="00E4264B"/>
    <w:rsid w:val="00E6307A"/>
    <w:rsid w:val="00E67384"/>
    <w:rsid w:val="00F61E8B"/>
    <w:rsid w:val="00FD40A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2024-05-23T09:58:00Z</dcterms:created>
  <dcterms:modified xsi:type="dcterms:W3CDTF">2024-05-23T09:58:00Z</dcterms:modified>
</cp:coreProperties>
</file>