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28.png" ContentType="image/png"/>
  <Override PartName="/word/media/rId38.png" ContentType="image/png"/>
  <Override PartName="/word/media/rId41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Групповой</w:t>
      </w:r>
      <w:r>
        <w:t xml:space="preserve"> </w:t>
      </w:r>
      <w:r>
        <w:t xml:space="preserve">проект.</w:t>
      </w:r>
      <w:r>
        <w:t xml:space="preserve"> </w:t>
      </w:r>
      <w:r>
        <w:t xml:space="preserve">Тема:</w:t>
      </w:r>
      <w:r>
        <w:t xml:space="preserve"> </w:t>
      </w:r>
      <w:r>
        <w:t xml:space="preserve">Рост</w:t>
      </w:r>
      <w:r>
        <w:t xml:space="preserve"> </w:t>
      </w:r>
      <w:r>
        <w:t xml:space="preserve">дендритов</w:t>
      </w:r>
    </w:p>
    <w:p>
      <w:pPr>
        <w:pStyle w:val="Subtitle"/>
      </w:pPr>
      <w:r>
        <w:t xml:space="preserve">Этап</w:t>
      </w:r>
      <w:r>
        <w:t xml:space="preserve"> </w:t>
      </w:r>
      <w:r>
        <w:t xml:space="preserve">2</w:t>
      </w:r>
    </w:p>
    <w:p>
      <w:pPr>
        <w:pStyle w:val="Author"/>
      </w:pPr>
      <w:r>
        <w:t xml:space="preserve">Артамонов</w:t>
      </w:r>
      <w:r>
        <w:t xml:space="preserve"> </w:t>
      </w:r>
      <w:r>
        <w:t xml:space="preserve">Тимофей</w:t>
      </w:r>
      <w:r>
        <w:t xml:space="preserve"> </w:t>
      </w:r>
      <w:r>
        <w:t xml:space="preserve">Евгеньевич</w:t>
      </w:r>
    </w:p>
    <w:p>
      <w:pPr>
        <w:pStyle w:val="Author"/>
      </w:pPr>
      <w:r>
        <w:t xml:space="preserve">Федорина</w:t>
      </w:r>
      <w:r>
        <w:t xml:space="preserve"> </w:t>
      </w:r>
      <w:r>
        <w:t xml:space="preserve">Эрнест</w:t>
      </w:r>
      <w:r>
        <w:t xml:space="preserve"> </w:t>
      </w:r>
      <w:r>
        <w:t xml:space="preserve">Васильевич</w:t>
      </w:r>
    </w:p>
    <w:p>
      <w:pPr>
        <w:pStyle w:val="Author"/>
      </w:pPr>
      <w:r>
        <w:t xml:space="preserve">Морозов</w:t>
      </w:r>
      <w:r>
        <w:t xml:space="preserve"> </w:t>
      </w:r>
      <w:r>
        <w:t xml:space="preserve">Михаил</w:t>
      </w:r>
      <w:r>
        <w:t xml:space="preserve"> </w:t>
      </w:r>
      <w:r>
        <w:t xml:space="preserve">Евгеньвич</w:t>
      </w:r>
    </w:p>
    <w:p>
      <w:pPr>
        <w:pStyle w:val="Author"/>
      </w:pPr>
      <w:r>
        <w:t xml:space="preserve">Коротун</w:t>
      </w:r>
      <w:r>
        <w:t xml:space="preserve"> </w:t>
      </w:r>
      <w:r>
        <w:t xml:space="preserve">Илья</w:t>
      </w:r>
      <w:r>
        <w:t xml:space="preserve"> </w:t>
      </w:r>
      <w:r>
        <w:t xml:space="preserve">Игоревич</w:t>
      </w:r>
    </w:p>
    <w:p>
      <w:pPr>
        <w:pStyle w:val="Author"/>
      </w:pPr>
      <w:r>
        <w:t xml:space="preserve">Маслова</w:t>
      </w:r>
      <w:r>
        <w:t xml:space="preserve"> </w:t>
      </w:r>
      <w:r>
        <w:t xml:space="preserve">Анастасия</w:t>
      </w:r>
      <w:r>
        <w:t xml:space="preserve"> </w:t>
      </w:r>
      <w:r>
        <w:t xml:space="preserve">Сергеевна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введение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Введение</w:t>
      </w:r>
    </w:p>
    <w:p>
      <w:pPr>
        <w:pStyle w:val="FirstParagraph"/>
      </w:pPr>
      <w:r>
        <w:t xml:space="preserve">На втором этапе группового проекта нужно сделать алгоритм решения задачи. Прежде чем описывать этапы алгоритма скажем о том для чего он нужен. Алгоритм — это упорядоченный набор действий, который необходимо выполнить для решения поставленной задачи. Алгоритмы нужны для: Получения результата более эффективным и быстрым путем и уменьшения количества ошибок, которые возникают при решении задач вручную.</w:t>
      </w:r>
    </w:p>
    <w:bookmarkEnd w:id="20"/>
    <w:bookmarkStart w:id="26" w:name="шаг-1-инициализация-параметров-симуляции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Шаг 1: Инициализация параметров симуляции</w:t>
      </w:r>
    </w:p>
    <w:p>
      <w:pPr>
        <w:pStyle w:val="FirstParagraph"/>
      </w:pPr>
      <w:r>
        <w:t xml:space="preserve">На первом этапе задается начальное состояние системы, включающее все необходимые физические параметры материала и начальные условия для симуляции. Этот этап критически важен для обеспечения корректности всего процесса моделирования.</w:t>
      </w:r>
    </w:p>
    <w:bookmarkStart w:id="24" w:name="определение-параметров-веществ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Определение параметров вещества: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Плотность</w:t>
      </w:r>
      <w:r>
        <w:rPr>
          <w:b/>
          <w:bCs/>
        </w:rPr>
        <w:t xml:space="preserve"> </w:t>
      </w:r>
      <m:oMath>
        <m:r>
          <m:t>ρ</m:t>
        </m:r>
      </m:oMath>
      <w:r>
        <w:t xml:space="preserve">: Масса на единицу объема материала, необходима для расчета массы вещества в заданном объеме и определения выделяемого или поглощаемого тепла в процессе фазового перехода.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Удельная теплота плавления</w:t>
      </w:r>
      <w:r>
        <w:rPr>
          <w:b/>
          <w:bCs/>
        </w:rPr>
        <w:t xml:space="preserve"> </w:t>
      </w:r>
      <m:oMath>
        <m:r>
          <m:t>L</m:t>
        </m:r>
      </m:oMath>
      <w:r>
        <w:t xml:space="preserve">: Количество теплоты, необходимое для перехода единицы массы вещества из твердого состояния в жидкое без изменения температуры, используется для расчета тепловых эффектов при кристаллизации.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Теплоемкость при постоянном давлении</w:t>
      </w:r>
      <w:r>
        <w:rPr>
          <w:b/>
          <w:bCs/>
        </w:rPr>
        <w:t xml:space="preserve"> </w:t>
      </w:r>
      <m:oMath>
        <m:sSub>
          <m:e>
            <m:r>
              <m:t>c</m:t>
            </m:r>
          </m:e>
          <m:sub>
            <m:r>
              <m:t>p</m:t>
            </m:r>
          </m:sub>
        </m:sSub>
      </m:oMath>
      <w:r>
        <w:t xml:space="preserve">: Энергия, требуемая для нагрева единицы массы вещества на один градус Цельсия, важна для определения изменений температуры в материале.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Коэффициент теплопроводности</w:t>
      </w:r>
      <w:r>
        <w:rPr>
          <w:b/>
          <w:bCs/>
        </w:rPr>
        <w:t xml:space="preserve"> </w:t>
      </w:r>
      <m:oMath>
        <m:r>
          <m:t>κ</m:t>
        </m:r>
      </m:oMath>
      <w:r>
        <w:t xml:space="preserve">: Описывает способность материала проводить тепло, критичен для расчета распределения температуры в системе.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Температура плавления</w:t>
      </w:r>
      <w:r>
        <w:rPr>
          <w:b/>
          <w:bCs/>
        </w:rPr>
        <w:t xml:space="preserve"> </w:t>
      </w:r>
      <m:oMath>
        <m:sSub>
          <m:e>
            <m:r>
              <m:t>T</m:t>
            </m:r>
          </m:e>
          <m:sub>
            <m:r>
              <m:t>m</m:t>
            </m:r>
          </m:sub>
        </m:sSub>
      </m:oMath>
      <w:r>
        <w:t xml:space="preserve"> </w:t>
      </w:r>
      <w:r>
        <w:t xml:space="preserve">[1]</w:t>
      </w:r>
      <w:r>
        <w:t xml:space="preserve"> </w:t>
      </w:r>
      <w:r>
        <w:t xml:space="preserve">: Температура перехода вещества из твердого состояния в жидкое, определяет начальную точку фазового перехода.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Хар-ки титана" title="fig:" id="22" name="Picture"/>
            <a:graphic>
              <a:graphicData uri="http://schemas.openxmlformats.org/drawingml/2006/picture">
                <pic:pic>
                  <pic:nvPicPr>
                    <pic:cNvPr descr="image/1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Хар-ки титана</w:t>
      </w:r>
    </w:p>
    <w:bookmarkEnd w:id="24"/>
    <w:bookmarkStart w:id="25" w:name="задание-начальных-условий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Задание начальных условий: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Начальная температура расплава</w:t>
      </w:r>
      <w:r>
        <w:rPr>
          <w:b/>
          <w:bCs/>
        </w:rPr>
        <w:t xml:space="preserve"> </w:t>
      </w:r>
      <m:oMath>
        <m:sSub>
          <m:e>
            <m:r>
              <m:t>T</m:t>
            </m:r>
          </m:e>
          <m:sub>
            <m:r>
              <m:rPr>
                <m:sty m:val="p"/>
              </m:rPr>
              <m:t>∞</m:t>
            </m:r>
          </m:sub>
        </m:sSub>
      </m:oMath>
      <w:r>
        <w:t xml:space="preserve">: Температура жидкой фазы в начале симуляции, влияет на степень переохлаждения и условия начала кристаллизации.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Безразмерное переохлаждение</w:t>
      </w:r>
      <w:r>
        <w:rPr>
          <w:b/>
          <w:bCs/>
        </w:rPr>
        <w:t xml:space="preserve"> </w:t>
      </w:r>
      <m:oMath>
        <m:r>
          <m:t>S</m:t>
        </m:r>
      </m:oMath>
      <w:r>
        <w:t xml:space="preserve">: Вычисляется как</w:t>
      </w:r>
      <w:r>
        <w:t xml:space="preserve"> </w:t>
      </w:r>
      <m:oMath>
        <m:r>
          <m:t>S</m:t>
        </m:r>
        <m:r>
          <m:rPr>
            <m:sty m:val="p"/>
          </m:rPr>
          <m:t>=</m:t>
        </m:r>
        <m:f>
          <m:fPr>
            <m:type m:val="bar"/>
          </m:fPr>
          <m:num>
            <m:sSub>
              <m:e>
                <m:r>
                  <m:t>c</m:t>
                </m:r>
              </m:e>
              <m:sub>
                <m:r>
                  <m:t>p</m:t>
                </m:r>
              </m:sub>
            </m:sSub>
            <m:d>
              <m:dPr>
                <m:begChr m:val="("/>
                <m:endChr m:val=")"/>
                <m:sepChr m:val=""/>
                <m:grow/>
              </m:dPr>
              <m:e>
                <m:sSub>
                  <m:e>
                    <m:r>
                      <m:t>T</m:t>
                    </m:r>
                  </m:e>
                  <m:sub>
                    <m:r>
                      <m:t>m</m:t>
                    </m:r>
                  </m:sub>
                </m:sSub>
                <m:r>
                  <m:rPr>
                    <m:sty m:val="p"/>
                  </m:rPr>
                  <m:t>−</m:t>
                </m:r>
                <m:sSub>
                  <m:e>
                    <m:r>
                      <m:t>T</m:t>
                    </m:r>
                  </m:e>
                  <m:sub>
                    <m:r>
                      <m:rPr>
                        <m:sty m:val="p"/>
                      </m:rPr>
                      <m:t>∞</m:t>
                    </m:r>
                  </m:sub>
                </m:sSub>
              </m:e>
            </m:d>
          </m:num>
          <m:den>
            <m:r>
              <m:t>L</m:t>
            </m:r>
          </m:den>
        </m:f>
      </m:oMath>
      <w:r>
        <w:t xml:space="preserve">, является ключевым фактором, определяющим начало процесса кристаллизации.</w:t>
      </w:r>
    </w:p>
    <w:bookmarkEnd w:id="25"/>
    <w:bookmarkEnd w:id="26"/>
    <w:bookmarkStart w:id="32" w:name="шаг-2-настройка-симуляционной-сетки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Шаг 2: Настройка симуляционной сетки</w:t>
      </w:r>
    </w:p>
    <w:p>
      <w:pPr>
        <w:pStyle w:val="FirstParagraph"/>
      </w:pPr>
      <w:r>
        <w:t xml:space="preserve">Создается симуляционная сетка</w:t>
      </w:r>
      <w:r>
        <w:t xml:space="preserve"> </w:t>
      </w:r>
      <w:r>
        <w:t xml:space="preserve">[2]</w:t>
      </w:r>
      <w:r>
        <w:t xml:space="preserve">, служащая пространством для моделирования роста дендритов. Этап включает подготовку сетки и начальную конфигурацию затравки кристаллизации.</w:t>
      </w:r>
    </w:p>
    <w:bookmarkStart w:id="27" w:name="создание-симуляционной-сетки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Создание симуляционной сетки: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Определение размера сетки</w:t>
      </w:r>
      <w:r>
        <w:rPr>
          <w:b/>
          <w:bCs/>
        </w:rPr>
        <w:t xml:space="preserve"> </w:t>
      </w:r>
      <m:oMath>
        <m:r>
          <m:t>N</m:t>
        </m:r>
        <m:r>
          <m:rPr>
            <m:sty m:val="p"/>
          </m:rPr>
          <m:t>×</m:t>
        </m:r>
        <m:r>
          <m:t>N</m:t>
        </m:r>
      </m:oMath>
      <w:r>
        <w:t xml:space="preserve">, где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— количество узлов по каждому измерению. Размер сетки должен обеспечивать достаточную детализацию для визуализации роста дендритов и учитывать вычислительные ограничения.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Установка расстояния между узлами сетки</w:t>
      </w:r>
      <w:r>
        <w:rPr>
          <w:b/>
          <w:bCs/>
        </w:rPr>
        <w:t xml:space="preserve"> </w:t>
      </w:r>
      <m:oMath>
        <m:r>
          <m:t>h</m:t>
        </m:r>
      </m:oMath>
      <w:r>
        <w:t xml:space="preserve">, влияющего на детализацию моделирования и точность результатов.</w:t>
      </w:r>
    </w:p>
    <w:bookmarkEnd w:id="27"/>
    <w:bookmarkStart w:id="31" w:name="инициализация-затравки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Инициализация затравки:</w:t>
      </w:r>
    </w:p>
    <w:p>
      <w:pPr>
        <w:pStyle w:val="Compact"/>
        <w:numPr>
          <w:ilvl w:val="0"/>
          <w:numId w:val="1004"/>
        </w:numPr>
      </w:pPr>
      <w:r>
        <w:t xml:space="preserve">В центре сетки создается затравка</w:t>
      </w:r>
      <w:r>
        <w:t xml:space="preserve"> </w:t>
      </w:r>
      <w:r>
        <w:t xml:space="preserve">[3]</w:t>
      </w:r>
      <w:r>
        <w:t xml:space="preserve">, представляющая участок в твердой фазе. Размер и форма затравки могут варьироваться в зависимости от целей симуляции.</w:t>
      </w:r>
    </w:p>
    <w:p>
      <w:pPr>
        <w:pStyle w:val="CaptionedFigure"/>
      </w:pPr>
      <w:r>
        <w:drawing>
          <wp:inline>
            <wp:extent cx="3733800" cy="1849772"/>
            <wp:effectExtent b="0" l="0" r="0" t="0"/>
            <wp:docPr descr="Вычислительная сетка в физическом пространстве" title="fig:" id="29" name="Picture"/>
            <a:graphic>
              <a:graphicData uri="http://schemas.openxmlformats.org/drawingml/2006/picture">
                <pic:pic>
                  <pic:nvPicPr>
                    <pic:cNvPr descr="image/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9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Вычислительная сетка в физическом пространстве</w:t>
      </w:r>
    </w:p>
    <w:bookmarkEnd w:id="31"/>
    <w:bookmarkEnd w:id="32"/>
    <w:bookmarkStart w:id="35" w:name="шаг-3-расчет-температурного-поля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Шаг 3: Расчет температурного поля</w:t>
      </w:r>
    </w:p>
    <w:p>
      <w:pPr>
        <w:pStyle w:val="FirstParagraph"/>
      </w:pPr>
      <w:r>
        <w:t xml:space="preserve">Моделирование распределения температуры в системе с течением времени, являющееся основой для анализа роста дендритов.</w:t>
      </w:r>
    </w:p>
    <w:bookmarkStart w:id="33" w:name="применение-уравнения-теплопроводности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Применение уравнения теплопроводности:</w:t>
      </w:r>
    </w:p>
    <w:p>
      <w:pPr>
        <w:pStyle w:val="Compact"/>
        <w:numPr>
          <w:ilvl w:val="0"/>
          <w:numId w:val="1005"/>
        </w:numPr>
      </w:pPr>
      <w:r>
        <w:t xml:space="preserve">Используется уравнение теплопроводности</w:t>
      </w:r>
      <w:r>
        <w:t xml:space="preserve"> </w:t>
      </w:r>
      <m:oMath>
        <m:r>
          <m:t>ρ</m:t>
        </m:r>
        <m:sSub>
          <m:e>
            <m:r>
              <m:t>c</m:t>
            </m:r>
          </m:e>
          <m:sub>
            <m:r>
              <m:t>p</m:t>
            </m:r>
          </m:sub>
        </m:sSub>
        <m:f>
          <m:fPr>
            <m:type m:val="bar"/>
          </m:fPr>
          <m:num>
            <m:r>
              <m:rPr>
                <m:sty m:val="p"/>
              </m:rPr>
              <m:t>∂</m:t>
            </m:r>
            <m:r>
              <m:t>T</m:t>
            </m:r>
          </m:num>
          <m:den>
            <m:r>
              <m:rPr>
                <m:sty m:val="p"/>
              </m:rPr>
              <m:t>∂</m:t>
            </m:r>
            <m:r>
              <m:t>t</m:t>
            </m:r>
          </m:den>
        </m:f>
        <m:r>
          <m:rPr>
            <m:sty m:val="p"/>
          </m:rPr>
          <m:t>=</m:t>
        </m:r>
        <m:r>
          <m:t>κ</m:t>
        </m:r>
        <m:sSup>
          <m:e>
            <m:r>
              <m:rPr>
                <m:sty m:val="p"/>
              </m:rPr>
              <m:t>∇</m:t>
            </m:r>
          </m:e>
          <m:sup>
            <m:r>
              <m:t>2</m:t>
            </m:r>
          </m:sup>
        </m:sSup>
        <m:r>
          <m:t>T</m:t>
        </m:r>
      </m:oMath>
      <w:r>
        <w:t xml:space="preserve"> </w:t>
      </w:r>
      <w:r>
        <w:t xml:space="preserve">для моделирования изменений температуры, учитывая приток тепла в систему и его распределение.</w:t>
      </w:r>
    </w:p>
    <w:bookmarkEnd w:id="33"/>
    <w:bookmarkStart w:id="34" w:name="численное-решение-уравнения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Численное решение уравнения:</w:t>
      </w:r>
    </w:p>
    <w:p>
      <w:pPr>
        <w:pStyle w:val="Compact"/>
        <w:numPr>
          <w:ilvl w:val="0"/>
          <w:numId w:val="1006"/>
        </w:numPr>
      </w:pPr>
      <w:r>
        <w:t xml:space="preserve">Реализация численного метода, например, метода конечных разностей, для аппроксимации производных и расчета температуры в каждом узле сетки. Выбор временного шага</w:t>
      </w:r>
      <w:r>
        <w:t xml:space="preserve"> </w:t>
      </w:r>
      <m:oMath>
        <m:r>
          <m:t>Δ</m:t>
        </m:r>
        <m:r>
          <m:t>t</m:t>
        </m:r>
      </m:oMath>
      <w:r>
        <w:t xml:space="preserve"> </w:t>
      </w:r>
      <w:r>
        <w:t xml:space="preserve">и пространственного шага</w:t>
      </w:r>
      <w:r>
        <w:t xml:space="preserve"> </w:t>
      </w:r>
      <m:oMath>
        <m:r>
          <m:t>h</m:t>
        </m:r>
      </m:oMath>
      <w:r>
        <w:t xml:space="preserve"> </w:t>
      </w:r>
      <w:r>
        <w:t xml:space="preserve">важен для стабильности и точности расчетов.</w:t>
      </w:r>
    </w:p>
    <w:bookmarkEnd w:id="34"/>
    <w:bookmarkEnd w:id="35"/>
    <w:bookmarkStart w:id="45" w:name="шаг-4-моделирование-роста-дендритов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Шаг 4: Моделирование роста дендритов</w:t>
      </w:r>
    </w:p>
    <w:p>
      <w:pPr>
        <w:pStyle w:val="FirstParagraph"/>
      </w:pPr>
      <w:r>
        <w:t xml:space="preserve">На этом этапе реализуется моделирование роста дендритов на основе рассчитанных температурных полей и соответствующих физических законов</w:t>
      </w:r>
      <w:r>
        <w:t xml:space="preserve"> </w:t>
      </w:r>
      <w:r>
        <w:t xml:space="preserve">[4]</w:t>
      </w:r>
      <w:r>
        <w:t xml:space="preserve">.</w:t>
      </w:r>
    </w:p>
    <w:bookmarkStart w:id="36" w:name="использование-условия-стефана"/>
    <w:p>
      <w:pPr>
        <w:pStyle w:val="Heading2"/>
      </w:pPr>
      <w:r>
        <w:rPr>
          <w:rStyle w:val="SectionNumber"/>
        </w:rPr>
        <w:t xml:space="preserve">5.1</w:t>
      </w:r>
      <w:r>
        <w:tab/>
      </w:r>
      <w:r>
        <w:t xml:space="preserve">Использование условия Стефана:</w:t>
      </w:r>
    </w:p>
    <w:p>
      <w:pPr>
        <w:pStyle w:val="Compact"/>
        <w:numPr>
          <w:ilvl w:val="0"/>
          <w:numId w:val="1007"/>
        </w:numPr>
      </w:pPr>
      <w:r>
        <w:t xml:space="preserve">Скорость роста границы кристаллизации</w:t>
      </w:r>
      <w:r>
        <w:t xml:space="preserve"> </w:t>
      </w:r>
      <m:oMath>
        <m:r>
          <m:t>V</m:t>
        </m:r>
      </m:oMath>
      <w:r>
        <w:t xml:space="preserve"> </w:t>
      </w:r>
      <w:r>
        <w:t xml:space="preserve">определяется условием Стефана:</w:t>
      </w:r>
      <w:r>
        <w:t xml:space="preserve"> </w:t>
      </w:r>
      <m:oMath>
        <m:r>
          <m:t>V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κ</m:t>
            </m:r>
          </m:num>
          <m:den>
            <m:r>
              <m:t>ρ</m:t>
            </m:r>
            <m:r>
              <m:t>L</m:t>
            </m:r>
          </m:den>
        </m:f>
        <m:d>
          <m:dPr>
            <m:begChr m:val="("/>
            <m:endChr m:val=")"/>
            <m:sepChr m:val=""/>
            <m:grow/>
          </m:dPr>
          <m:e>
            <m:r>
              <m:rPr>
                <m:sty m:val="p"/>
              </m:rPr>
              <m:t>∇</m:t>
            </m:r>
            <m:r>
              <m:t>T</m:t>
            </m:r>
            <m:sSub>
              <m:e>
                <m:d>
                  <m:dPr>
                    <m:begChr m:val="|"/>
                    <m:endChr m:val="|"/>
                    <m:sepChr m:val=""/>
                    <m:grow/>
                  </m:dPr>
                  <m:e>
                    <m:sSub>
                      <m:e>
                        <m:r>
                          <m:t>​</m:t>
                        </m:r>
                      </m:e>
                      <m:sub>
                        <m:r>
                          <m:t>s</m:t>
                        </m:r>
                      </m:sub>
                    </m:sSub>
                    <m:r>
                      <m:rPr>
                        <m:sty m:val="p"/>
                      </m:rPr>
                      <m:t>−</m:t>
                    </m:r>
                    <m:r>
                      <m:rPr>
                        <m:sty m:val="p"/>
                      </m:rPr>
                      <m:t>∇</m:t>
                    </m:r>
                    <m:r>
                      <m:t>T</m:t>
                    </m:r>
                  </m:e>
                </m:d>
              </m:e>
              <m:sub>
                <m:r>
                  <m:t>l</m:t>
                </m:r>
              </m:sub>
            </m:sSub>
          </m:e>
        </m:d>
      </m:oMath>
      <w:r>
        <w:t xml:space="preserve">, что позволяет связать скорость роста с разницей градиентов температуры на границе фаз.</w:t>
      </w:r>
    </w:p>
    <w:p>
      <w:pPr>
        <w:pStyle w:val="Compact"/>
        <w:numPr>
          <w:ilvl w:val="0"/>
          <w:numId w:val="1007"/>
        </w:numPr>
      </w:pPr>
      <w:r>
        <w:t xml:space="preserve">Исходя из скорости</w:t>
      </w:r>
      <w:r>
        <w:t xml:space="preserve"> </w:t>
      </w:r>
      <m:oMath>
        <m:r>
          <m:t>V</m:t>
        </m:r>
      </m:oMath>
      <w:r>
        <w:t xml:space="preserve">, происходит обновление положения границы кристаллизации, тем самым моделируя расширение твердой фазы.</w:t>
      </w:r>
    </w:p>
    <w:bookmarkEnd w:id="36"/>
    <w:bookmarkStart w:id="37" w:name="применение-условия-гиббса-томсона"/>
    <w:p>
      <w:pPr>
        <w:pStyle w:val="Heading2"/>
      </w:pPr>
      <w:r>
        <w:rPr>
          <w:rStyle w:val="SectionNumber"/>
        </w:rPr>
        <w:t xml:space="preserve">5.2</w:t>
      </w:r>
      <w:r>
        <w:tab/>
      </w:r>
      <w:r>
        <w:t xml:space="preserve">Применение условия Гиббса-Томсона:</w:t>
      </w:r>
    </w:p>
    <w:p>
      <w:pPr>
        <w:pStyle w:val="Compact"/>
        <w:numPr>
          <w:ilvl w:val="0"/>
          <w:numId w:val="1008"/>
        </w:numPr>
      </w:pPr>
      <w:r>
        <w:t xml:space="preserve">Условие Гиббса-Томсона корректирует температуру плавления на границе кристалла:</w:t>
      </w:r>
      <w:r>
        <w:t xml:space="preserve"> </w:t>
      </w:r>
      <m:oMath>
        <m:sSub>
          <m:e>
            <m:r>
              <m:t>T</m:t>
            </m:r>
          </m:e>
          <m:sub>
            <m:r>
              <m:t>b</m:t>
            </m:r>
          </m:sub>
        </m:sSub>
        <m:r>
          <m:rPr>
            <m:sty m:val="p"/>
          </m:rPr>
          <m:t>=</m:t>
        </m:r>
        <m:sSub>
          <m:e>
            <m:r>
              <m:t>T</m:t>
            </m:r>
          </m:e>
          <m:sub>
            <m:r>
              <m:t>m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1</m:t>
            </m:r>
            <m:r>
              <m:rPr>
                <m:sty m:val="p"/>
              </m:rPr>
              <m:t>−</m:t>
            </m:r>
            <m:f>
              <m:fPr>
                <m:type m:val="bar"/>
              </m:fPr>
              <m:num>
                <m:r>
                  <m:t>γ</m:t>
                </m:r>
                <m:sSub>
                  <m:e>
                    <m:r>
                      <m:t>T</m:t>
                    </m:r>
                  </m:e>
                  <m:sub>
                    <m:r>
                      <m:t>m</m:t>
                    </m:r>
                  </m:sub>
                </m:sSub>
              </m:num>
              <m:den>
                <m:r>
                  <m:t>ρ</m:t>
                </m:r>
                <m:sSup>
                  <m:e>
                    <m:r>
                      <m:t>L</m:t>
                    </m:r>
                  </m:e>
                  <m:sup>
                    <m:r>
                      <m:t>2</m:t>
                    </m:r>
                  </m:sup>
                </m:sSup>
                <m:r>
                  <m:t>R</m:t>
                </m:r>
              </m:den>
            </m:f>
          </m:e>
        </m:d>
      </m:oMath>
      <w:r>
        <w:t xml:space="preserve">, учитывая кривизну границы и влияние поверхностного натяжения.</w:t>
      </w:r>
    </w:p>
    <w:bookmarkEnd w:id="37"/>
    <w:bookmarkStart w:id="44" w:name="обновление-температурного-поля"/>
    <w:p>
      <w:pPr>
        <w:pStyle w:val="Heading2"/>
      </w:pPr>
      <w:r>
        <w:rPr>
          <w:rStyle w:val="SectionNumber"/>
        </w:rPr>
        <w:t xml:space="preserve">5.3</w:t>
      </w:r>
      <w:r>
        <w:tab/>
      </w:r>
      <w:r>
        <w:t xml:space="preserve">Обновление температурного поля:</w:t>
      </w:r>
    </w:p>
    <w:p>
      <w:pPr>
        <w:pStyle w:val="Compact"/>
        <w:numPr>
          <w:ilvl w:val="0"/>
          <w:numId w:val="1009"/>
        </w:numPr>
      </w:pPr>
      <w:r>
        <w:t xml:space="preserve">После каждого этапа роста дендритов требуется пересчитать температурное поле, учитывая выделение или поглощение теплоты за счет фазового перехода.</w:t>
      </w:r>
    </w:p>
    <w:p>
      <w:pPr>
        <w:pStyle w:val="CaptionedFigure"/>
      </w:pPr>
      <w:r>
        <w:drawing>
          <wp:inline>
            <wp:extent cx="3733800" cy="1787831"/>
            <wp:effectExtent b="0" l="0" r="0" t="0"/>
            <wp:docPr descr="Фазовое поле и соответствующее температурное поле дендритной структуры" title="fig:" id="39" name="Picture"/>
            <a:graphic>
              <a:graphicData uri="http://schemas.openxmlformats.org/drawingml/2006/picture">
                <pic:pic>
                  <pic:nvPicPr>
                    <pic:cNvPr descr="image/3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7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Фазовое поле и соответствующее температурное поле дендритной структуры</w:t>
      </w:r>
    </w:p>
    <w:p>
      <w:pPr>
        <w:pStyle w:val="CaptionedFigure"/>
      </w:pPr>
      <w:r>
        <w:drawing>
          <wp:inline>
            <wp:extent cx="3598333" cy="1672166"/>
            <wp:effectExtent b="0" l="0" r="0" t="0"/>
            <wp:docPr descr="Фазовое поле и соответствующее температурное поле дендритной структуры" title="fig:" id="42" name="Picture"/>
            <a:graphic>
              <a:graphicData uri="http://schemas.openxmlformats.org/drawingml/2006/picture">
                <pic:pic>
                  <pic:nvPicPr>
                    <pic:cNvPr descr="image/4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8333" cy="1672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Фазовое поле и соответствующее температурное поле дендритной структуры</w:t>
      </w:r>
    </w:p>
    <w:bookmarkEnd w:id="44"/>
    <w:bookmarkEnd w:id="45"/>
    <w:bookmarkStart w:id="48" w:name="шаг-5-анализ-структуры-дендритов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Шаг 5: Анализ структуры дендритов</w:t>
      </w:r>
    </w:p>
    <w:p>
      <w:pPr>
        <w:pStyle w:val="FirstParagraph"/>
      </w:pPr>
      <w:r>
        <w:t xml:space="preserve">Проводится детальный анализ сформированных дендритных структур для оценки их свойств и сравнения с теоретическими и экспериментальными данными.</w:t>
      </w:r>
    </w:p>
    <w:bookmarkStart w:id="46" w:name="оценка-морфологии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Оценка морфологии:</w:t>
      </w:r>
    </w:p>
    <w:p>
      <w:pPr>
        <w:pStyle w:val="Compact"/>
        <w:numPr>
          <w:ilvl w:val="0"/>
          <w:numId w:val="1010"/>
        </w:numPr>
      </w:pPr>
      <w:r>
        <w:t xml:space="preserve">Анализ формы, размеров и ветвления дендритов позволяет понять механизмы их роста и определить влияющие на это процессы.</w:t>
      </w:r>
    </w:p>
    <w:p>
      <w:pPr>
        <w:pStyle w:val="Compact"/>
        <w:numPr>
          <w:ilvl w:val="0"/>
          <w:numId w:val="1010"/>
        </w:numPr>
      </w:pPr>
      <w:r>
        <w:t xml:space="preserve">Использование методов измерения фрактальной размерности дает количественную оценку сложности структуры дендритов.</w:t>
      </w:r>
    </w:p>
    <w:bookmarkEnd w:id="46"/>
    <w:bookmarkStart w:id="47" w:name="сравнение-с-экспериментальными-данными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t xml:space="preserve">Сравнение с экспериментальными данными:</w:t>
      </w:r>
    </w:p>
    <w:p>
      <w:pPr>
        <w:pStyle w:val="Compact"/>
        <w:numPr>
          <w:ilvl w:val="0"/>
          <w:numId w:val="1011"/>
        </w:numPr>
      </w:pPr>
      <w:r>
        <w:t xml:space="preserve">Сопоставление результатов моделирования с экспериментальными данными по росту дендритов помогает проверить точность и надежность модели.</w:t>
      </w:r>
    </w:p>
    <w:bookmarkEnd w:id="47"/>
    <w:bookmarkEnd w:id="48"/>
    <w:bookmarkStart w:id="54" w:name="шаг-6-визуализация-и-оценка-результатов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Шаг 6: Визуализация и оценка результатов</w:t>
      </w:r>
    </w:p>
    <w:p>
      <w:pPr>
        <w:pStyle w:val="FirstParagraph"/>
      </w:pPr>
      <w:r>
        <w:t xml:space="preserve">Заключительный этап проекта включает подготовку визуализации процесса роста дендритов и анализ полученных результатов.</w:t>
      </w:r>
    </w:p>
    <w:bookmarkStart w:id="49" w:name="визуализация-роста-дендритов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Визуализация роста дендритов:</w:t>
      </w:r>
    </w:p>
    <w:p>
      <w:pPr>
        <w:pStyle w:val="Compact"/>
        <w:numPr>
          <w:ilvl w:val="0"/>
          <w:numId w:val="1012"/>
        </w:numPr>
      </w:pPr>
      <w:r>
        <w:t xml:space="preserve">Использование графических инструментов для создания изображений и видео, демонстрирующих динамику роста дендритов и конечную структуру.</w:t>
      </w:r>
    </w:p>
    <w:p>
      <w:pPr>
        <w:pStyle w:val="Compact"/>
        <w:numPr>
          <w:ilvl w:val="0"/>
          <w:numId w:val="1012"/>
        </w:numPr>
      </w:pPr>
      <w:r>
        <w:t xml:space="preserve">Визуализация является ключевым элементом для наглядного представления исследования и помогает в анализе результатов.</w:t>
      </w:r>
    </w:p>
    <w:bookmarkEnd w:id="49"/>
    <w:bookmarkStart w:id="53" w:name="X84d3571fb6869d2e103801f4ac1bbdd720dfefa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Анализ результатов и формулировка выводов:</w:t>
      </w:r>
    </w:p>
    <w:p>
      <w:pPr>
        <w:pStyle w:val="Compact"/>
        <w:numPr>
          <w:ilvl w:val="0"/>
          <w:numId w:val="1013"/>
        </w:numPr>
      </w:pPr>
      <w:r>
        <w:t xml:space="preserve">Оценка эффективности использованных методов моделирования, сопоставление с теоретическими предположениями и экспериментальными данными.</w:t>
      </w:r>
    </w:p>
    <w:p>
      <w:pPr>
        <w:pStyle w:val="Compact"/>
        <w:numPr>
          <w:ilvl w:val="0"/>
          <w:numId w:val="1013"/>
        </w:numPr>
      </w:pPr>
      <w:r>
        <w:t xml:space="preserve">Подготовка выводов о механизмах роста дендритов и возможных путях улучшения процессов материаловедения на основе результатов моделирования.</w:t>
      </w:r>
    </w:p>
    <w:p>
      <w:pPr>
        <w:pStyle w:val="CaptionedFigure"/>
      </w:pPr>
      <w:r>
        <w:drawing>
          <wp:inline>
            <wp:extent cx="3733800" cy="3937000"/>
            <wp:effectExtent b="0" l="0" r="0" t="0"/>
            <wp:docPr descr="Рост дендрита" title="fig:" id="51" name="Picture"/>
            <a:graphic>
              <a:graphicData uri="http://schemas.openxmlformats.org/drawingml/2006/picture">
                <pic:pic>
                  <pic:nvPicPr>
                    <pic:cNvPr descr="image/6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3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Рост дендрита</w:t>
      </w:r>
    </w:p>
    <w:bookmarkEnd w:id="53"/>
    <w:bookmarkEnd w:id="54"/>
    <w:bookmarkStart w:id="55" w:name="вывод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Вывод</w:t>
      </w:r>
    </w:p>
    <w:p>
      <w:pPr>
        <w:pStyle w:val="FirstParagraph"/>
      </w:pPr>
      <w:r>
        <w:t xml:space="preserve">Представлен процесс разработки алгоритма моделирования роста дендритов, начиная с инициализации параметров симуляции и настройки симуляционной сетки, и заканчивая моделированием роста дендритов и анализом их структуры. Алгоритмы играют важную роль в решении задач, обеспечивая более эффективный и точный способ получения результатов, а каждый этап моделирования от инициализации параметров до анализа результатов имеет свою важную роль в создании полной картины процесса.</w:t>
      </w:r>
    </w:p>
    <w:bookmarkEnd w:id="55"/>
    <w:bookmarkStart w:id="64" w:name="список-литературы"/>
    <w:p>
      <w:pPr>
        <w:pStyle w:val="Heading1"/>
      </w:pPr>
      <w:r>
        <w:t xml:space="preserve">Список литературы</w:t>
      </w:r>
    </w:p>
    <w:bookmarkStart w:id="63" w:name="refs"/>
    <w:bookmarkStart w:id="57" w:name="ref-wiki:temp:bash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Температура плавления</w:t>
      </w:r>
      <w:r>
        <w:t xml:space="preserve"> </w:t>
      </w:r>
      <w:r>
        <w:t xml:space="preserve">[Электронный ресурс]. Wikimedia Foundation, Inc., 2023. URL:</w:t>
      </w:r>
      <w:r>
        <w:t xml:space="preserve"> </w:t>
      </w:r>
      <w:hyperlink r:id="rId56">
        <w:r>
          <w:rPr>
            <w:rStyle w:val="Hyperlink"/>
          </w:rPr>
          <w:t xml:space="preserve">https://ru.wikipedia.org/wiki/Температура_плавления</w:t>
        </w:r>
      </w:hyperlink>
      <w:r>
        <w:t xml:space="preserve">.</w:t>
      </w:r>
    </w:p>
    <w:bookmarkEnd w:id="57"/>
    <w:bookmarkStart w:id="59" w:name="ref-wiki:mesh:bash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Mesh generation</w:t>
      </w:r>
      <w:r>
        <w:t xml:space="preserve"> </w:t>
      </w:r>
      <w:r>
        <w:t xml:space="preserve">[Электронный ресурс]. Wikimedia Foundation, Inc., 2024. URL:</w:t>
      </w:r>
      <w:r>
        <w:t xml:space="preserve"> </w:t>
      </w:r>
      <w:hyperlink r:id="rId58">
        <w:r>
          <w:rPr>
            <w:rStyle w:val="Hyperlink"/>
          </w:rPr>
          <w:t xml:space="preserve">https://en.wikipedia.org/wiki/Mesh_generation</w:t>
        </w:r>
      </w:hyperlink>
      <w:r>
        <w:t xml:space="preserve">.</w:t>
      </w:r>
    </w:p>
    <w:bookmarkEnd w:id="59"/>
    <w:bookmarkStart w:id="61" w:name="ref-wiki:seed:bash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Seed crystal</w:t>
      </w:r>
      <w:r>
        <w:t xml:space="preserve"> </w:t>
      </w:r>
      <w:r>
        <w:t xml:space="preserve">[Электронный ресурс]. Wikimedia Foundation, Inc., 2024. URL:</w:t>
      </w:r>
      <w:r>
        <w:t xml:space="preserve"> </w:t>
      </w:r>
      <w:hyperlink r:id="rId60">
        <w:r>
          <w:rPr>
            <w:rStyle w:val="Hyperlink"/>
          </w:rPr>
          <w:t xml:space="preserve">https://en.wikipedia.org/wiki/Seed_crystal</w:t>
        </w:r>
      </w:hyperlink>
      <w:r>
        <w:t xml:space="preserve">.</w:t>
      </w:r>
    </w:p>
    <w:bookmarkEnd w:id="61"/>
    <w:bookmarkStart w:id="62" w:name="ref-medvedev:bash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Медведев Д. А. П.Э.Р. Куперштох А. Л.</w:t>
      </w:r>
      <w:r>
        <w:t xml:space="preserve"> </w:t>
      </w:r>
      <w:r>
        <w:t xml:space="preserve">Моделирование физических процессов и явлений на ПК: Учеб. пособие</w:t>
      </w:r>
      <w:r>
        <w:t xml:space="preserve">. Новосибирск: Новосиб. гос. ун-т., 2010. 101 с.</w:t>
      </w:r>
    </w:p>
    <w:bookmarkEnd w:id="62"/>
    <w:bookmarkEnd w:id="63"/>
    <w:bookmarkEnd w:id="6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28" Target="media/rId28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50" Target="media/rId50.png" /><Relationship Type="http://schemas.openxmlformats.org/officeDocument/2006/relationships/hyperlink" Id="rId58" Target="https://en.wikipedia.org/wiki/Mesh_generation" TargetMode="External" /><Relationship Type="http://schemas.openxmlformats.org/officeDocument/2006/relationships/hyperlink" Id="rId60" Target="https://en.wikipedia.org/wiki/Seed_crystal" TargetMode="External" /><Relationship Type="http://schemas.openxmlformats.org/officeDocument/2006/relationships/hyperlink" Id="rId56" Target="https://ru.wikipedia.org/wiki/&#1058;&#1077;&#1084;&#1087;&#1077;&#1088;&#1072;&#1090;&#1091;&#1088;&#1072;_&#1087;&#1083;&#1072;&#1074;&#1083;&#1077;&#1085;&#1080;&#1103;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8" Target="https://en.wikipedia.org/wiki/Mesh_generation" TargetMode="External" /><Relationship Type="http://schemas.openxmlformats.org/officeDocument/2006/relationships/hyperlink" Id="rId60" Target="https://en.wikipedia.org/wiki/Seed_crystal" TargetMode="External" /><Relationship Type="http://schemas.openxmlformats.org/officeDocument/2006/relationships/hyperlink" Id="rId56" Target="https://ru.wikipedia.org/wiki/&#1058;&#1077;&#1084;&#1087;&#1077;&#1088;&#1072;&#1090;&#1091;&#1088;&#1072;_&#1087;&#1083;&#1072;&#1074;&#1083;&#1077;&#1085;&#1080;&#1103;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Групповой проект. Тема: Рост дендритов</dc:title>
  <dc:creator>Артамонов Тимофей Евгеньевич; Федорина Эрнест Васильевич; Морозов Михаил Евгеньвич; Коротун Илья Игоревич; Маслова Анастасия Сергеевна</dc:creator>
  <dc:language>ru-RU</dc:language>
  <cp:keywords/>
  <dcterms:created xsi:type="dcterms:W3CDTF">2024-03-02T16:42:27Z</dcterms:created>
  <dcterms:modified xsi:type="dcterms:W3CDTF">2024-03-02T16:42:27Z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institute">
    <vt:lpwstr>RUDN University, Moscow, Russian Federation</vt:lpwstr>
  </property>
  <property fmtid="{D5CDD505-2E9C-101B-9397-08002B2CF9AE}" pid="15" name="linestretch">
    <vt:lpwstr>1.5</vt:lpwstr>
  </property>
  <property fmtid="{D5CDD505-2E9C-101B-9397-08002B2CF9AE}" pid="16" name="listingTitle">
    <vt:lpwstr>Листинг</vt:lpwstr>
  </property>
  <property fmtid="{D5CDD505-2E9C-101B-9397-08002B2CF9AE}" pid="17" name="lof">
    <vt:lpwstr>True</vt:lpwstr>
  </property>
  <property fmtid="{D5CDD505-2E9C-101B-9397-08002B2CF9AE}" pid="18" name="lofTitle">
    <vt:lpwstr>Список иллюстраций</vt:lpwstr>
  </property>
  <property fmtid="{D5CDD505-2E9C-101B-9397-08002B2CF9AE}" pid="19" name="lolTitle">
    <vt:lpwstr>Листинги</vt:lpwstr>
  </property>
  <property fmtid="{D5CDD505-2E9C-101B-9397-08002B2CF9AE}" pid="20" name="lot">
    <vt:lpwstr>False</vt:lpwstr>
  </property>
  <property fmtid="{D5CDD505-2E9C-101B-9397-08002B2CF9AE}" pid="21" name="lotTitle">
    <vt:lpwstr>Список таблиц</vt:lpwstr>
  </property>
  <property fmtid="{D5CDD505-2E9C-101B-9397-08002B2CF9AE}" pid="22" name="mainfont">
    <vt:lpwstr>PT Serif</vt:lpwstr>
  </property>
  <property fmtid="{D5CDD505-2E9C-101B-9397-08002B2CF9AE}" pid="23" name="mainfontoptions">
    <vt:lpwstr>Ligatures=TeX</vt:lpwstr>
  </property>
  <property fmtid="{D5CDD505-2E9C-101B-9397-08002B2CF9AE}" pid="24" name="monofont">
    <vt:lpwstr>PT Mono</vt:lpwstr>
  </property>
  <property fmtid="{D5CDD505-2E9C-101B-9397-08002B2CF9AE}" pid="25" name="monofontoptions">
    <vt:lpwstr>Scale=MatchLowercase,Scale=0.9</vt:lpwstr>
  </property>
  <property fmtid="{D5CDD505-2E9C-101B-9397-08002B2CF9AE}" pid="26" name="papersize">
    <vt:lpwstr>a4</vt:lpwstr>
  </property>
  <property fmtid="{D5CDD505-2E9C-101B-9397-08002B2CF9AE}" pid="27" name="polyglossia-lang">
    <vt:lpwstr/>
  </property>
  <property fmtid="{D5CDD505-2E9C-101B-9397-08002B2CF9AE}" pid="28" name="polyglossia-otherlangs">
    <vt:lpwstr/>
  </property>
  <property fmtid="{D5CDD505-2E9C-101B-9397-08002B2CF9AE}" pid="29" name="romanfont">
    <vt:lpwstr>PT Serif</vt:lpwstr>
  </property>
  <property fmtid="{D5CDD505-2E9C-101B-9397-08002B2CF9AE}" pid="30" name="romanfontoptions">
    <vt:lpwstr>Ligatures=TeX</vt:lpwstr>
  </property>
  <property fmtid="{D5CDD505-2E9C-101B-9397-08002B2CF9AE}" pid="31" name="sansfont">
    <vt:lpwstr>PT Sans</vt:lpwstr>
  </property>
  <property fmtid="{D5CDD505-2E9C-101B-9397-08002B2CF9AE}" pid="32" name="sansfontoptions">
    <vt:lpwstr>Ligatures=TeX,Scale=MatchLowercase</vt:lpwstr>
  </property>
  <property fmtid="{D5CDD505-2E9C-101B-9397-08002B2CF9AE}" pid="33" name="subtitle">
    <vt:lpwstr>Этап 2</vt:lpwstr>
  </property>
  <property fmtid="{D5CDD505-2E9C-101B-9397-08002B2CF9AE}" pid="34" name="tableTitle">
    <vt:lpwstr>Таблица</vt:lpwstr>
  </property>
  <property fmtid="{D5CDD505-2E9C-101B-9397-08002B2CF9AE}" pid="35" name="toc">
    <vt:lpwstr>True</vt:lpwstr>
  </property>
  <property fmtid="{D5CDD505-2E9C-101B-9397-08002B2CF9AE}" pid="36" name="toc-depth">
    <vt:lpwstr>2</vt:lpwstr>
  </property>
  <property fmtid="{D5CDD505-2E9C-101B-9397-08002B2CF9AE}" pid="37" name="toc-title">
    <vt:lpwstr>Содержание</vt:lpwstr>
  </property>
</Properties>
</file>