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2025年03月31日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标题：制造业PMI连续两月回升，中小企业回稳运行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3月份，中国制造业PMI连续两月回升至50.5%，表明经济回升迹象明显，但供大于求的问题仍突出。中小企业运行趋稳，政策推动经济初显回升态势，但基础不稳定。装备和高技术制造业需求增长，生产活动上升。价格方面，基础原材料价格下降影响整体购进和出厂价格。未来，宏观经济预计继续实现量的稳定增长和质的较快提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标题：战略布局银行体系稳健发展，5000亿注资四大行落地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国财政部向四大国有商业银行注资5000亿元，以补充其核心一级资本，预计可撬动4万亿元信贷增量，旨在增强银行服务实体经济的能力。本次注资通过发行特别国债支持，涉及的银行包括中国银行、建设银行、交通银行和邮储银行。募资方式为定向增发A股，发行价格高于二级市场，以保护中小股东利益。此次注资是对银行体系长期稳健发展进行的战略性布局，增强其风险抵御能力和信贷投放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标题：中办国办印发《逐步把永久基本农田建成高标准农田实施方案》</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和国务院办公厅发布《逐步把永久基本农田建成高标准农田实施方案》，强调粮食安全战略，计划到2030年建成13.5亿亩高标准农田，并在2035年实现全面建设。方案明确建设标准和区域布局，细分为七个区域，制定四级规划体系，确保项目实施和资金使用效率。政策要求严格保护高标准农田，禁止违法占用，并加强项目质量监管和运营管护。各级政府和部门将分工协作以实现目标，鼓励社会资本参与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标题：《求是》杂志发表习近平总书记重要文章</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求是》杂志发表习近平总书记的重要文章，强调科技是国家发展的关键。文章回顾了党的十八大以来在科技创新方面的成就，并提出2035年建成科技强国的目标。文章强调坚持党的全面领导，走中国特色自主创新道路，推进教育科技人才发展，深化科技体制改革，促进国际科技合作。文章指出科技强国应具备强大的基础研究能力、核心技术攻关能力、国际影响力、人才培养能力和科技治理能力。强调要以坚定决心推进科技自立自强，加快高水平科技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标题：《朝着建成科技强国的宏伟目标奋勇前进》</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习近平在全国科技大会上强调推进科技强国建设，指出要在2035年前建成科技强国。报告中总结了近年来中国科技领域的成就，如量子科技、生命科学等领域的突破。习近平强调坚持党的全面领导，走自主创新道路，深化科技体制改革，推动教育、科技、人才一体化发展。还提出加强国际科技合作，形成开放、公平的国际科技环境。通过科技创新引领高质量发展，助力国家安全和全球发展。强调科技在中国式现代化中的战略地位，并指出当前仍需增强原始创新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标题：关于全国劳动模范和先进工作者拟表彰对象的公示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党中央、国务院决定开展全国劳动模范和先进工作者评选表彰活动，以表彰在经济、政治、文化、社会、生态文明和党的建设等方面作出重大贡献的劳动者。经过层层选拔，确定1677名全国劳动模范和762名全国先进工作者作为拟表彰对象。为了发扬民主、广泛听取意见并接受社会监督，公示将从2025年3月30日至4月3日进行。社会各界如有异议，可通过电话、邮件或信函向相关委员会办公室反映意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标题：国有大行增资超5000亿，怎么看？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计划发行特别国债，以支持四家国有大银行补充核心一级资本，总金额超过5000亿元。这一举措旨在增强国有大行的资本实力，以更好地应对国际金融市场的变动和国内经济的需求。国有大行增资将有助于提升银行的风险抵御能力和服务实体经济的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标题：《住宅项目规范》落地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住宅项目规范》已经正式实施，强调了新规范对住宅开发项目的具体影响。该规范涉及多个方面，包括建筑设计、材料使用和环境标准，旨在提高住宅质量和居住舒适度。实施新规范将促进更加可持续和和谐的城市发展。预计该规范的落实将对房地产市场产生深远影响，并带动相关行业的转型升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标题：赛轮集团袁仲雪：AI技术赋能橡胶工业可持续发展</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3月26日，中国橡胶工业协会年会在山东青岛举行，主题为绿色创新与可持续发展。赛轮集团名誉董事长袁仲雪发表主旨报告，强调AI技术对橡胶工业的重要性。2025年政府报告支持'人工智能+'行动，推进数字与制造结合。袁仲雪分析了AI在橡胶行业的应用，强调绿色材料和智能制造对轮胎产品的重要性。AI技术在轮胎制造各环节提升了效率和质量控制。袁仲雪展望AI驱动下的人机协作未来，强调制造设备和数据支撑的重要性。</w:t>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标题：缅甸7.9级“世纪强震”：震中八成建筑损毁，高温下生死救援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缅甸发生7.9级大地震，震中八成建筑损毁，死亡人数达1700人，受伤3400人，300人失踪。地震导致基础设施严重受损，阿瓦大桥倒塌。中国救援队迅速抵达，参与救援并提供1亿元人民币紧急援助。高温和即将到来的雨季增加救援难度，国际社会关注并准备援助。泰国受地震波及，曼谷损失较大。缅甸地理位置使其地震频发，实皆断裂带活动频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标题：顶级投资人·去现场 | 瑞银：国际投资人对中国资产兴趣显著增强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摘要：瑞银亚太区总裁Iqbal Khan在中国发展高层论坛2025年年会表示，国际投资人对中国资产的兴趣显著增强。如果政策环境保持稳定且持续开放，中国资产的重估具有可持续的上升动能。瑞银已获准成为瑞银证券的唯一股东，并增持股权至100%。Iqbal Khan强调多元化投资的重要性，并认为科技和人工智能将改变财富管理行业。中国科技领域正经历价值重估，恒生科技指数年初至今涨幅超36%。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标题：对等关税和非农就业数据！美股本周将面临双重挑战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本周美股将面临特朗普政府公布对等关税政策和非农就业数据的双重挑战。4月2日的对等关税政策可能更具针对性，市场仍未完全计价关税政策影响。亚太股市和美股期货因关税政策变化可能性而下跌，金价创新高。同样，3月非农就业数据也将影响美股方向，预计新增就业13.5万人，失业率4.1%。市场担忧广泛关税可能影响经济增长，高盛将未来12个月美国经济衰退概率提升至35%。分析师表示政策不确定性导致市场压力，投资者需关注非农数据对经济软着陆的指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标题：美国2月核心PCE涨幅超预期，三大股指全线下跌，纳指重挫2.7%</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2月核心PCE物价指数同比上涨2.79%，高于市场预期，导致市场对美联储降息预期减弱。受此影响，美股周五大幅下挫，纳指重挫2.7%。此外，特朗普政府计划对进口汽车加征25%关税，导致汽车股下跌。科技股成为抛售重灾区，苹果、微软、亚马逊等公司股价大幅下跌。贵金属板块逆势走强，国际金价创新高。市场担忧通胀压力和政策不确定性增加对经济增长的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标题：滚动更新丨道指跌0.23% Lululemon绩后跌超12%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股指在最近的交易中集体低开，道指下跌0.23%，纳指下跌0.46%，标普500指数下跌0.29%。Lululemon在公布业绩后股价下跌超过12%，而特斯拉股价上涨超过1%，并在中国优化了自动辅助导航驾驶功能。纳斯达克中国金龙指数跌幅扩大至3%，热门中概股普遍下跌。美股太空概念股盘前集体上涨，其中KULR涨幅超过18%。欧洲主要股指涨跌不一，德国DAX指数下跌0.42%，法国CAC40指数下跌0.57%，英国富时100指数上涨0.07%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标题：美国暂停缴纳WTO会费，“已处于第一类欠费状态”</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已暂停缴纳WTO会费，目前处于第一类欠费状态，拖欠金额为2270万瑞士法郎。美国暂停缴费是因为正在审查对所有国际组织的会费缴纳。WTO已制定计划以确保日常运作，并可能采取惩罚措施。美国继续阻止WTO上诉机构法官任命，强调需要对争端解决体系进行改革。美国在国际组织方面的重心转移与其对现行体系的不满有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标题：第13次中日韩经贸部长会议在韩举行，将就加快中日韩自贸协定谈判保持讨论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第13次中日韩经贸部长会议在韩国首尔举行，三国就加快中日韩自贸协定谈判达成共识。会议强调加强在世贸组织、RCEP等框架下的合作，深化数字及绿色经济合作。中方表示将继续推动高质量发展与扩大开放。三国认识到推动三方经贸合作对地区与全球经济的重要性，强调RCEP的有效落实及供应链合作的重要性。中韩中日分别举行会谈，讨论自贸协定及加强供应链合作等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标题：每天能为1000多辆重卡加氢，中法最新氢能合作项目在上海投产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法合作的氢能项目在上海投产，氢能发展公司由法国液化空气集团和中国申能集团合资，日充装能力达12吨，每天可为1000多辆中重型卡车加氢。该项目标志着上海在氢能基础设施领域取得重大进展，助力长三角地区绿色低碳出行。上海计划到2025年氢能产业链规模突破1000亿元，并于2035年达到国际领先水平。项目依托工业副产氢资源，采用低碳提纯技术，已获得中国首张300巴II型瓶氢气充装许可证。中法在氢能等创新产业的合作潜力巨大，法国外长巴罗访华期间双方达成深化合作共识。</w:t>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标题：从“百舸争流”到“七雄争霸”，中国汽车业大整合催生全球竞争新秩序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国汽车行业正经历大规模整合，国务院国资委计划通过战略重组提高产业集中度，打造具有全球竞争力的汽车集团。新能源转型推动中国车企崛起，市场集中度在加速提升，参与全球竞争。报告预测，到2035年，中国汽车出口将形成以新能源整车和智能化解决方案为支柱的模式。国内市场中，自主品牌占据主导地位，2025年自主品牌市占率首次突破70%。合资品牌市场份额萎缩，行业兼并现象频繁。未来中国汽车产业将沿五大路径加速整合，形成2+5梯队格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标题：传祺向往S7限时价 16.98万-22.38万正式上市</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3月30日，传祺向往S7正式上市，限时价16.98万-22.38万元。顶配车型国补后低至20.88万元，Pro版低至15.38万元。4月30日前下订用户享多种优惠及权益。传祺向往S7为家庭大五座SUV，提供豪华智能座舱及高阶智驾体验，并具备多种动力模式。车辆具备高安全性及智能化生产工艺，已通过大量测试。传祺向往S7致力于提供舒适、智能的出行体验，强调技术创新。上市即交付，向100位首批车主交付新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标题：奇瑞集团董事长尹同跃：用技术创新开路，在电动化、智能化方面奋勇前进</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在中国电动汽车百人会论坛上，奇瑞控股集团董事长尹同跃指出，电动化、智能化和AI正在改变全球汽车行业竞争点，奇瑞将依靠技术创新在这些领域奋力追赶。奇瑞通过与宁德时代和地平线等合作伙伴的合作推动电动化和智能化发展，并在芜湖举办‘智能之夜’推动智驾平权。奇瑞坚持多品牌战略和质量管理，积极在国际市场开展业务，推进海外研发和制造。奇瑞还通过精细化管理提高经营质量，以适应日益复杂的行业管理要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标题：解读江淮汽车2024年业绩：产品、技术与合作的多元支撑</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江淮汽车2024年销售40.31万辆整车及底盘，营业收入422.02亿元，净利润为-17.84亿元。尽管市场竞争激烈，江淮商用车逆势增长，轻卡、皮卡及新能源商用车出口表现强劲。研发投入34.64亿元，同比增长55.03%，展示其对技术创新的重视。江淮与华为合作推出尊界S800，探索高端化市场。合作延伸至宁德时代，推动新能源发展。2025年计划销售43万辆，营业收入460亿元，展望未来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标题：工业和信息化部原副部长苏波：“油电转换”进入重大转折期 推动燃油车资源充分利用迫在眉睫</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工业和信息化部原副部长苏波在中国电动汽车百人会论坛上表示，油电转换进入重大转折期，推动燃油车资源充分利用迫在眉睫。未来两三年，我国汽车产业将进入新能源汽车主导市场发展的新阶段，新能源汽车技术先进，产业链完整，国际竞争力强。去年我国自主汽车品牌市占比达到69.8%。现有燃油车产能过剩，新能源汽车产能多为新建。建议政府制定政策，支持燃油车企加快电动化转型，通过兼并重组等方式减少资源浪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2025年03月31日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机密文件</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