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2025年04月01日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标题：15座万亿城市2024年人口数据：深圳增量第一，两地连续10年10万级增长</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2024年全国15座万亿GDP城市中，深圳以19.94万人的增量位居第一，合肥增速最快。深圳凭借经济活跃和年轻人口结构实现了显著的人口增长。合肥和杭州依靠科创产业吸引人口，合肥增速为全国第一。成都和长沙分别实现了24年和22年的连续人口增长。广州和深圳的增长带动了广东省整体人口的增加。福州、宁波和济南等城市也表现出良好的人口增长势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标题：警惕市场违规套利，2字头消费贷有何风险</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近期消费贷利率将从低于3%的'2字头'上调到不低于3%。银行的低价竞争使得息差承压，部分套利行为滋生。深圳多家银行已开始调整利率，部分银行在4月初之前仍可办理低于3%利率的贷款。消费贷低利率的快速增长伴随不良贷款风险上升。消费贷与房贷利率倒挂催生套利空间。专家建议银行应合理定价，消费者应量力而行，避免盲目申请贷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标题：中共中央政治局召开会议</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政治局召开会议，审议生态环境保护督察工作条例及二十届中央第四轮巡视情况综合报告，强调加强党对生态环境保护督察工作的领导。会议指出，2025年是推进巡视全覆盖的关键年，需以习近平新时代中国特色社会主义思想为指导，推动巡视工作高质量发展。会议强调推进美丽中国建设的政治责任，强化督察队伍建设及巡视与其他监督的贯通协调。要求加强对领导班子的监督，严肃整改中央巡视发现的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标题：锲而不舍落实中央八项规定精神</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当前，全党正在深入贯彻中央八项规定精神的学习教育。作风建设需要长期坚持，融入日常生活。勤俭节约是八项规定的重要内容，需持之以恒。通过学习教育，严肃查处违规违纪行为，清除不良文化土壤。推进好的文风、会风、话风是作风建设的标尺，并需同步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标题：久久为功 化风成俗</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当前全党正在深入贯彻中央八项规定精神，强调作风建设需长期坚持。自党的十八大以来，八项规定通过小切口推动大整治，改善党风政风社风。但作风建设需避免形式主义，继续保持力度和韧性。各级党组织需完善工作机制，坚持零容忍态度，坚决反对特权现象，督促党员干部树立正确观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标题：银行业保险业“施工图”公布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金融监管总局、科技部、国家发展改革委发布《银行业保险业科技金融高质量发展实施方案》，提出加强科技金融服务机制、产品体系、专业能力和风控能力建设。方案鼓励金融机构完善科技金融服务架构，提高贷款不良容忍度，支持共建科技金融服务生态。增加科技信贷投放，优化科技保险服务，支持科技企业债券融资。扩大金融资产投资公司股权投资试点，深化保险资金长期投资改革。鼓励数字化经营工具研发，健全风险分担机制，改进第三方中介服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标题：雄安新区承接北京非首都功能疏解取得突破性进展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雄安新区自2017年设立以来，承接北京非首都功能疏解取得突破性进展，现有4000余家北京企业在此扎根。2024年底，常住人口达到136.07万人，反映出雄安新区的人才吸引力。中国星网等中央企业已迁驻雄安，推动未来发展。新区为疏解人员提供住房、教育、医疗等全方位保障，京雄同城化在多个领域实现突破，数据共享和政务服务便利化显著提升。新区构建科学的政策体系，激发内生动力，促进现代化产业体系发展。</w:t>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标题：高盛：关税对美国经济冲击很大 多项经济数据大规模下滑</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高盛下调美国2025年GDP增速预期至1%，并将未来12个月内美国经济衰退概率上调至35%。高盛认为美国即将实施的大规模对等关税将对经济造成重大冲击，导致信心和资本支出相关经济数据大幅下滑。特朗普政府的关税政策比前一届更为激进，可能对全球经济造成负面影响。中国企业可能因经历过类似冲击而更具应对经验。4月2日美国将宣布关税细节，未来政策不确定性仍将高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标题：撑起3000亿美元估值，OpenAI转型压力加大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OpenAI在软银牵头的财团注资下完成了400亿美元的融资，估值达到3000亿美元。OpenAI需要在12月31日前转型成营利性公司，否则可能面临100亿到300亿美元的融资减少。创始人马斯克对公司的营利性转型持质疑态度，并已发起法律诉讼。OpenAI计划利用融资推动AI研究，预计2025年收入将增长两倍至127亿美元。市场预计生成式AI市场未来十年收入可达1万亿美元。尽管AI投资热潮高涨，但盈利前景仍不明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标题：尹锡悦弹劾案4日宣判！韩国警方严阵以待，8名大法官将如何裁决？</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宪法法院将于当地时间4月4日上午11时对总统尹锡悦的弹劾案进行宣判，若6名法官赞成，尹锡悦将被罢免。警方将在当天加强警戒，并指定首尔部分地区为特别犯罪预防区域。韩国宪法法院大法官当前共有8名，审理过程较长，反映出法官对最终判决的谨慎态度。此前，宪法法院曾驳回对韩德洙的弹劾。韩国国内民调显示，58%的受访者支持罢免尹锡悦。宪法法院已准备进行宣判的现场直播。宪法法院的最终裁决可能对韩国社会产生重要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标题：滚动更新丨美股三大指数集体低开，小鹏汽车涨超3%</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低开，特斯拉涨逾1%，强生跌超3%。小鹏汽车美股盘前涨超3%，开盘后涨幅超过3%。美元兑日元失守149，现货白银跌超1%。美国3月ISM制造业PMI为49，低于预期的49.5。道指跌幅扩大至1%，纳指转涨。纳斯达克中国金龙指数涨0.54%。</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标题：美债五年来首次季度性跑赢美股，60/40投资策略回归，这些债券也被看好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债在过去一个季度首次跑赢美股，涨幅超2.5%，而标普500指数下跌约5%。分析师预计美债强劲走势将持续，传统60/40投资策略将回归。日债、新兴市场企业债和中资债也被看好。全球央行政策和经济放缓预期推动债券投资价值。美联储可能继续降息，进一步利好美债。投资者可从债券中获得资本回报和收益率，尤其是高质量债券未来5年平均年回报率约5.5%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标题：独家｜专访WTO前总干事拉米：设想一个没有美国作为积极成员的WTO是完全可能的</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在接受专访时，前WTO总干事拉米表示，设想一个没有美国作为积极成员的WTO是完全可能的。拉米的观点反映出对美国在全球贸易体系中角色的思考。与此同时，高盛下调美国2025年GDP增速预期至1%，并预计美国经济在未来12个月内进入衰退的概率上升至35%。高盛首席美国经济学家David Mericle在上海解释称，关税政策对美国经济冲击很大，信心和资本支出相关的经济数据出现大幅下滑。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标题：独家｜专访WTO前总干事拉米：设想一个没有美国作为积极成员的WTO是完全可能的</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世贸组织（WTO）前总干事拉米认为，美国的贸易逆差是宏观经济不平衡的体现，美元的世界货币地位使美国能够承受巨大贸易赤字。拉米指出特朗普的关税政策基于错误假设，并可能导致美国经济内部危机。美国逐步脱离国际公约可能削弱WTO，但也可能在没有美国的情况下继续运作。拉米建议思考一个没有美国作为积极成员的WTO可能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标题：对等关税即将宣布，美方倾向如何计算？是否会背离最惠国待遇原则？｜解码特朗普关税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即将宣布对等关税政策，其计算方式和执行细节尚不明确。美方可能不会使用总体关税率，而更倾向于加权平均关税。对等关税可能违反WTO的最惠国待遇原则。特朗普的对等概念与WTO的权利义务平衡不一致。美国的贸易逆差与其国内财政失衡和美元地位有关。特朗普希望通过关税政策实现贸易平衡和强化美元地位，但可能很难实现。美国在加征关税上将考虑非关税壁垒、增值税等因素。关税政策可能成为新一轮贸易政策的转折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标题：韩正会见荷兰皇家飞利浦公司首席执行官贾博瑞</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4月1日，国家副主席韩正在北京会见荷兰皇家飞利浦公司首席执行官贾博瑞。韩正表示，中国与荷兰都是开放型经济体，是经济全球化的倡导者、推动者、受益者。中国将继续致力于建设开放型世界经济，推动中荷、中欧经贸合作，为跨国公司创造新机会。欢迎飞利浦公司在华扩大研发投入，促进中欧合作。贾博瑞称习近平主席的讲话令人鼓舞，飞利浦将坚持在中国的长期发展战略。</w:t>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标题：东风汽车与中国移动签署战略合作协议 在七个重点领域开展深度合作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东风汽车与中国移动签署战略合作协议，双方将在人工智能、车路云一体化、智能网联生态等七大领域深度合作。合作目标是打造人、车、家一体化智能生态，推动汽车产业高质量发展。东风汽车与中国移动此前已在智能驾驶、联合科研等方面合作。未来将基于中国移动“九天”基础大模型和东风汽车数据，共建汽车行业大模型。双方还将攻关自动驾驶技术难题，推动5G全无线控制系统环境的建立。东风汽车积极深化产业协同创新，发布了行业最大自动驾驶开源数据集，并与多个单位展开技术合作。此次合作将助力中国智能网联汽车产业的全面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标题：品质造车赋能高质量发展 长城汽车2024年盈利大幅提升</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长城汽车在2024年实现了营收2,021.95亿元和净利润126.92亿元，分别同比增长16.73%和80.73%。公司多个财务指标创下历史新高，新能源车型销量增长25.65%，海外销量增长44.61%。长城汽车的高质量发展归功于其对品质的坚持以及在智能化、越野和全球化方面的战略布局。公司在智能驾驶、越野市场和全球化扩展上形成了独特竞争力，并计划继续通过创新研发提升长期竞争力。长城汽车的高质量发展路径为中国汽车产业的可持续发展提供了借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标题：长安启源Q07开启预售 13.98万元起</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长安启源Q07于3月31日开启预售，起售价13.98万元，提供5个版本。该车是北斗天枢2.0计划的首款产品，具备超强智能、超美设计、超大空间和超长续航。其天枢智驾、天域座舱、天衡底盘三大科技项目全面提升驾驶体验。Q07采用扶光美学2.0设计，强调东方神韵。其空间利用率达到86%，适合家庭使用。搭载智慧新蓝鲸3.0插混系统，馈电油耗仅3.9L/100km，纯电续航215km。Q07预售体现了长安品牌的越级价值承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标题：限时免费终身质保 奥迪A4L200万辆悦享版用户关怀再升级</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一汽奥迪推出限时免费终身质保政策，适用于2025年4月1日至5月31日内购买奥迪A4L的首任非营运车车主。该政策覆盖车辆全生命周期，除易损件外的其他零件享受终身质保。奥迪A4L凭借其37年豪华车生产经验和高品质赢得200万用户信赖。奥迪A4L200万辆悦享版车型以动感设计和高性能技术诠释豪华新高度。一汽奥迪宣布焕新服务品牌为“奥迪卓·悦服务Plus”，提供全生命周期的高端拥车体验。未来，一汽奥迪将继续坚持用户中心，推动豪华出行向全生命周期价值共生跃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标题：“硬派新玩家”郑州日产Z9开启预售 11.99万起</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摘要：郑州日产Z9在3月31日开启预售，提供Z9和Z9 GT两种版本，起售价为11.99万元，价格区间为11.99万元至18.19万元，并计划推出25万元级的Z9 GTS版本。郑州日产发布新品牌主张“硬派越野 皮卡玩家”，并推出“星核”平台和“全场景电混科技”PHEV技术，计划两年内推出9款新车型。日产汽车将支持郑州日产的电动化和智能化战略，强化研发和制造能力。Z9的安全、舒适和性能特点包括C-NCAP五星安全标准、540°环车高清影像和10种全地形驾驶模式。Z9 PHEV版将在5月推出，代号P20 PHEV的皮卡将在年内上市。郑州日产目标在三年内成为皮卡出口第一阵营，重回10万销量。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2025年04月01日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