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微软雅黑" w:hAnsi="微软雅黑" w:eastAsia="微软雅黑"/>
          <w:b/>
          <w:sz w:val="22"/>
        </w:rPr>
        <w:t>2025年04月15日 新闻简报</w:t>
      </w:r>
    </w:p>
    <w:p>
      <w:pPr>
        <w:jc w:val="center"/>
      </w:pPr>
      <w:r>
        <w:rPr>
          <w:rFonts w:ascii="微软雅黑" w:hAnsi="微软雅黑" w:eastAsia="微软雅黑"/>
          <w:b/>
          <w:sz w:val="22"/>
        </w:rPr>
        <w:t>一: 综合热点新闻(国内)</w:t>
      </w:r>
    </w:p>
    <w:p>
      <w:pPr>
        <w:spacing w:after="0"/>
      </w:pPr>
      <w:r>
        <w:rPr>
          <w:rFonts w:ascii="微软雅黑" w:hAnsi="微软雅黑" w:eastAsia="微软雅黑"/>
          <w:b/>
          <w:color w:val="000000"/>
          <w:sz w:val="18"/>
        </w:rPr>
        <w:t>标题：投资中国·2025海南自由贸易港全球产业招商大会总签约额约2336亿元</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4月14日，在第五届中国国际消费品博览会期间，投资中国·2025海南自由贸易港全球产业招商大会在海南国际会展中心举行，共签约项目265个，总签约额约2336亿元。其中，上午的综合推介大会签约重点项目55个，签约额约1540亿元；下午的8场产业专场招商对接洽谈会聚焦多个重点领域。参会企业对海南自贸港的投资前景展现出浓厚兴趣，认为其政策环境、自然资源、交通条件和营商环境极具吸引力。大会还发布了包含400个招商项目、总投资约4600亿元的海南自贸港招商项目机会清单，涵盖多个现代产业体系领域。</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标题：我国将全面推行以养老护理员为重点的职业技能等级制度</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民政部、人力资源社会保障部近日联合印发《关于加快推进养老服务技能人才职业技能等级认定工作的实施意见》，提出全面推行以养老护理员为重点的职业技能等级制度。实施意见明确，到“十五五”末，取得职业技能等级证书的养老护理员占比达到80%以上。实施意见提出了7项重点任务，包括全面推行职业技能等级制度、推进职业技能等级认定机构建设等。这是我国首个关于养老服务技能人才评价工作的专项政策文件，旨在提升养老服务行业吸引力和稳岗助企。</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标题：金价再创新高！华尔街纷纷上调目标价，高盛已看高至3700美元</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金价再创历史新高，现货黄金早盘快速拉升，突破前高并将历史高位刷新至3245美元/盎司，随后冲高回落至3215美元/盎司。国内市场方面，沪金主力2506合约报763.64元/克，涨1.45%。华尔街大行如高盛和瑞银纷纷上调黄金目标价，高盛将2025年黄金目标价上调至3700美元/盎司，瑞银则看高至3500美元/盎司。央行对黄金的需求强劲，资金不断流入黄金ETF，亚洲对黄金的实物需求也支撑了价格。德意志银行预测到2025年底，黄金价格将达到3350美元/盎司。黄金价格上涨的原因包括地缘政治紧张局势升级、对通胀的担忧和不断变化的利率前景等。</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标题：推荐分析｜3月出口同比增速显著加快，压力下展现了较强韧性</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海关总署4月14日发布的数据显示，2025年1-3月，中国以美元计的进出口总值同比增长0.2%，其中出口总值同比增长5.8%，3月同比增长12.4%；进口总值同比下降7.0%，3月同比下降4.3%。以人民币计，进出口总值同比增长1.3%，出口总值同比增长6.9%，3月同比增长13.5%；进口总值同比下降6.0%，3月同比下降3.5%。一季度出口展现了较强韧性，对170多个国家和地区的出口实现增长，新能源产品如风力发电机组、锂电池、电动汽车等出口增长显著。进口额同比下滑，主要受国际大宗商品价格下跌等因素影响。海关总署新闻发言人吕大良表示，中国进口增长空间巨大，将继续扩大高水平对外开放。</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标题：中国在这一领域反击美国霸凌，精准制“服”</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中国在服务贸易领域对美国进行精准反制，以回应美国在货物贸易上的高额关税。根据世贸组织数据，美国在服务贸易领域占据绝对优势，2023年服务贸易出口额突破1万亿美元，占全球服贸总额的13%，且在中美服务贸易中享有巨额顺差。中国通过减少美国影片进口、发布赴美旅游风险提示和留学预警等措施，在旅行、教育、电影文化等服务贸易领域对美国进行反制。这些措施旨在抑制服务贸易失衡增长、保护国内产业发展空间，并向美方表明立场。美国《华尔街日报》指出，美国政府的关税政策可能对其服务贸易带来冲击。</w:t>
      </w:r>
    </w:p>
    <w:p>
      <w:r>
        <w:br w:type="page"/>
      </w:r>
    </w:p>
    <w:p>
      <w:pPr>
        <w:jc w:val="center"/>
      </w:pPr>
      <w:r>
        <w:rPr>
          <w:rFonts w:ascii="微软雅黑" w:hAnsi="微软雅黑" w:eastAsia="微软雅黑"/>
          <w:b/>
          <w:sz w:val="22"/>
        </w:rPr>
        <w:t>二: 综合热点新闻(国际)</w:t>
      </w:r>
    </w:p>
    <w:p>
      <w:pPr>
        <w:spacing w:after="0"/>
      </w:pPr>
      <w:r>
        <w:rPr>
          <w:rFonts w:ascii="微软雅黑" w:hAnsi="微软雅黑" w:eastAsia="微软雅黑"/>
          <w:b/>
          <w:color w:val="000000"/>
          <w:sz w:val="18"/>
        </w:rPr>
        <w:t>标题：美元美债随特朗普关税政策反复寻底，信用崩塌下美元资产正失去吸引力</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特朗普政府的激进且不断变化的贸易政策导致全球对美元资产信心崩塌，美债和美元指数下跌。上周五，美元指数跌破100关口，创下三年最低水平。10年期美债收益率上涨至4.4876%，创2001年以来最大单周涨幅。市场人士认为，此次下跌原因更加结构性、系统性，投资者对美元资产的信心恐难恢复。特朗普关税政策的多变和难以捉摸，给全球的美债投资者带来了高度不确定性，导致美债收益率飙升，推高整体借贷成本，进而对美国经济造成新一轮打击。美国不稳定的财政状况同样加剧了投资者的焦虑，预计美国今年的预算赤字将超过2万亿美元。分析师担忧，特朗普政府的贸易政策可能点燃全球对美元资产信心崩塌的引线，导致全球资金撤出美国资产。</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标题：滚动更新丨纳斯达克中国金龙指数涨超5%；现货黄金跌破3200美元</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纳斯达克中国金龙指数涨超5%，现货黄金跌破3200美元/盎司。大型科技股普涨，英伟达涨近3%，苹果涨近7%，英特尔涨近4%。热门中概股涨幅扩大，阿里巴巴、拼多多涨近7%，百度涨超4%，京东上涨6.1%，理想汽车2.8%。德国DAX指数日内大涨3%。美股三大指数集体高开，纳指涨2.33%。国际油价持续走高，美油涨逾1%，布油涨近1%。</w:t>
      </w:r>
    </w:p>
    <w:p>
      <w:r>
        <w:br w:type="page"/>
      </w:r>
    </w:p>
    <w:p>
      <w:pPr>
        <w:jc w:val="center"/>
      </w:pPr>
      <w:r>
        <w:rPr>
          <w:rFonts w:ascii="微软雅黑" w:hAnsi="微软雅黑" w:eastAsia="微软雅黑"/>
          <w:b/>
          <w:sz w:val="22"/>
        </w:rPr>
        <w:t>三: 汽车类热点新闻</w:t>
      </w:r>
    </w:p>
    <w:p>
      <w:pPr>
        <w:spacing w:after="0"/>
      </w:pPr>
      <w:r>
        <w:rPr>
          <w:rFonts w:ascii="微软雅黑" w:hAnsi="微软雅黑" w:eastAsia="微软雅黑"/>
          <w:b/>
          <w:color w:val="000000"/>
          <w:sz w:val="18"/>
        </w:rPr>
        <w:t>标题：多家机构下调美国汽车销量预期</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多家机构下调美国汽车销量预期，主要原因是全球贸易战升级和关税政策的影响。GlobalData数据显示，3月份美国轻型汽车销量经季节性调整后的年销量达到1780万辆，但专家预计销量将因关税生效而减少。Telemetry预测美国和加拿大今年汽车销量可能减少180万辆，未来十年可能停滞。美国银行警告，如果汽车制造商将关税成本转嫁给消费者，美国汽车销量可能减少320万辆。Cox将2025年美国全年销量预期从1630万辆下调至1560万辆。晨星和摩根士丹利也下调了销量预期，预计关税将对销量造成实质性影响，导致价格上涨和销量减少。GlobalData已将2025年和2026年的销量预期分别下调至1490万辆和1450万辆。</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标题：宁德时代与蚂蚁集团、哈啰达成战略合作</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4月14日，宁德时代宣布与蚂蚁集团及哈啰签署战略合作协议，三方将基于数字科技、新能源技术与共享出行生态等核心优势，围绕绿色智能出行、数字科技、绿色运营及绿色投资四大方向展开深度合作，共同推动新能源产业智能化升级和生态体系建设。合作重点包括智能驾驶、新能源出行综合服务平台建设、新能源电池后市场服务体系等方向，并将通过成立合资公司等方式推进重点领域的应用发展与商业化落地。</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标题：Stellantis Q1全球销量同比降9%</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Stellantis第一季度全球销量同比下降9%，主要受北美地区产量降低和欧洲厢式车销量下降影响。特朗普宣布对智能手机等电子产品的关税豁免是暂时性的，并计划对中国芯片展开国家安全调查。土耳其第一季度汽车产量同比下降8.7%，商用汽车产量下降11%。通用汽车加拿大工厂将削减BrightDrop纯电动货车产量，并计划裁员。沃尔沃汽车可能需要两年时间扩大美国产能以避免高额进口关税。三菱汽车暂停向美国运输车辆。通用汽车CEO玛丽·博拉2024年薪酬增长5.9%。Stellantis仍致力于玛莎拉蒂品牌。极星第一季度全球交付量同比增长76%。Lucid将收购Nikola亚利桑那州工厂部分设施和资产。斯堪尼亚收购Northvolt重工业电池包生产部门。</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标题：4月17日油价将大幅下调，后市仍高波动</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4月17日油价将进行新一轮调整，预计将大幅下调，可能出现近三年来最大跌幅。国内汽、柴油价格累计下调达520元/吨，汽、柴油每升下调0.4元至0.42元，50L油箱加满能少花21元。今年国内成品油价格已历经七轮调整，呈现'三涨三跌一搁浅'的态势。国际油价整体震荡下跌，布伦特和WTI原油双双跌破60美元/桶，最低达58.4美元/桶、55.12美元/桶，创下近四年新低。油价大幅下跌的原因包括美国'对等关税'政策引发全球经济衰退担忧，以及8个OPEC+产油国5月起增产41.1万桶/日，远超市场预期。</w:t>
      </w:r>
    </w:p>
    <w:p>
      <w:pPr>
        <w:spacing w:after="0"/>
      </w:pPr>
      <w:r>
        <w:rPr>
          <w:rFonts w:ascii="微软雅黑" w:hAnsi="微软雅黑" w:eastAsia="微软雅黑"/>
          <w:b/>
          <w:color w:val="000000"/>
          <w:sz w:val="18"/>
        </w:rPr>
        <w:t>标题：2025年04月15日汽车相关企业股市情况</w:t>
      </w:r>
    </w:p>
    <w:p>
      <w:pPr>
        <w:spacing w:after="0"/>
      </w:pPr>
      <w:r>
        <w:rPr>
          <w:rFonts w:ascii="微软雅黑" w:hAnsi="微软雅黑" w:eastAsia="微软雅黑"/>
          <w:b/>
          <w:color w:val="000000"/>
          <w:sz w:val="18"/>
        </w:rPr>
        <w:t>来源：百度</w:t>
      </w:r>
    </w:p>
    <w:p>
      <w:pPr>
        <w:spacing w:after="0"/>
      </w:pPr>
      <w:r>
        <w:rPr>
          <w:rFonts w:ascii="微软雅黑" w:hAnsi="微软雅黑" w:eastAsia="微软雅黑"/>
          <w:sz w:val="18"/>
        </w:rPr>
        <w:t>摘要：见下图</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rFonts w:ascii="微软雅黑" w:hAnsi="微软雅黑" w:eastAsia="微软雅黑"/>
        <w:sz w:val="18"/>
      </w:rPr>
      <w:t>第</w:t>
      <w:fldChar w:fldCharType="begin"/>
      <w:instrText xml:space="preserve">PAGE</w:instrText>
      <w:fldChar w:fldCharType="end"/>
    </w:r>
    <w:r>
      <w:rPr>
        <w:rFonts w:ascii="微软雅黑" w:hAnsi="微软雅黑" w:eastAsia="微软雅黑"/>
        <w:sz w:val="18"/>
      </w:rPr>
      <w:t>页 | 2025年04月15日</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rFonts w:ascii="微软雅黑" w:hAnsi="微软雅黑" w:eastAsia="微软雅黑"/>
        <w:color w:val="000000"/>
        <w:sz w:val="18"/>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