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rFonts w:ascii="微软雅黑" w:hAnsi="微软雅黑" w:eastAsia="微软雅黑"/>
          <w:b/>
          <w:sz w:val="22"/>
        </w:rPr>
        <w:t>2025年04月26日 新闻晚报</w:t>
      </w:r>
    </w:p>
    <w:p>
      <w:pPr>
        <w:jc w:val="center"/>
      </w:pPr>
      <w:r>
        <w:rPr>
          <w:rFonts w:ascii="微软雅黑" w:hAnsi="微软雅黑" w:eastAsia="微软雅黑"/>
          <w:b/>
          <w:sz w:val="22"/>
        </w:rPr>
        <w:t>一: 综合热点新闻(国内)</w:t>
      </w:r>
    </w:p>
    <w:p>
      <w:pPr>
        <w:spacing w:after="0"/>
      </w:pPr>
      <w:r>
        <w:rPr>
          <w:rFonts w:ascii="微软雅黑" w:hAnsi="微软雅黑" w:eastAsia="微软雅黑"/>
          <w:b/>
          <w:color w:val="000000"/>
          <w:sz w:val="18"/>
        </w:rPr>
        <w:t>标题：医药工业“链”上数智化！7部门发文释放新信号</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工业和信息化部、商务部、国家卫生健康委等七部门联合印发《医药工业数智化转型实施方案（2025—2030年）》，提出到2027年突破一批医药工业数智化关键技术，建成100个以上数智药械工厂，培育30家以上医药工业数智化转型卓越服务商；到2030年规上医药工业企业基本实现数智化转型全覆盖。方案涵盖化学药、中药、生物制品和医疗器械等细分领域，旨在推动新一代信息技术与医药产业链深度融合。</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标题：以高质量发展的确定性应对外部不确定性——从中央政治局会议看经济工作着力点</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中共中央政治局4月25日召开会议，分析研究当前经济形势和经济工作，强调以高质量发展的确定性应对外部环境急剧变化的不确定性，提出着力稳就业、稳企业、稳市场、稳预期，加紧实施更加积极有为的宏观政策，增强消费对经济增长的拉动作用，多措并举帮扶困难企业，用深化改革开放的办法解决发展中的问题，持续用力防范化解重点领域风险，着力保障和改善民生。会议还提出了一系列具体措施，如加快地方政府专项债券、超长期特别国债等发行使用，适时降准降息，设立服务消费与养老再贷款，加快实施“人工智能+”行动，加快全国统一大市场建设，加大服务业开放试点政策力度，加快构建房地产发展新模式，加大高品质住房供给，优化存量商品房收购政策，继续实施地方政府一揽子化债政策，加快解决地方政府拖欠企业账款问题，对受关税影响较大的企业提高失业保险基金稳岗返还比例，加强农业生产，稳定粮食等重要农产品价格等。</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标题：四川：全省统一取消普通住宅和非普通住宅标准</w:t>
      </w:r>
    </w:p>
    <w:p>
      <w:pPr>
        <w:spacing w:after="0"/>
      </w:pPr>
      <w:r>
        <w:rPr>
          <w:rFonts w:ascii="微软雅黑" w:hAnsi="微软雅黑" w:eastAsia="微软雅黑"/>
          <w:b/>
          <w:color w:val="000000"/>
          <w:sz w:val="18"/>
        </w:rPr>
        <w:t>来源：新华网</w:t>
      </w:r>
    </w:p>
    <w:p>
      <w:pPr>
        <w:spacing w:after="0"/>
      </w:pPr>
      <w:r>
        <w:rPr>
          <w:rFonts w:ascii="微软雅黑" w:hAnsi="微软雅黑" w:eastAsia="微软雅黑"/>
          <w:sz w:val="18"/>
        </w:rPr>
        <w:t>摘要：四川省人民政府25日晚发布通知，统一取消普通住宅和非普通住宅标准，并发布免征土地增值税的政策。通知明确，纳税人建造满足特定条件的普通标准住宅出售，增值额未超过扣除项目金额20%的，继续免征土地增值税。具体条件包括住宅小区建筑容积率在1.0以上，单套建筑面积在140平方米以下，实际成交价格低于同级别土地上住房平均交易价格1.2倍以下。通知自印发之日起施行，有效期至2029年12月31日。</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标题：【新思想引领新征程】降低交通物流成本，助力全国统一大市场建设</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摘要：新闻讨论了降低交通物流成本对建设全国统一大市场的重要性，强调了政策在促进物流效率提升和成本降低方面的作用。</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标题：三大交易所修订股票上市规则：明确关键少数责任，强化中小股东保障</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沪深北交易所于2025年4月25日晚间修订发布新的股票上市规则及配套规则指南，主要内容包括明确审计委员会职责承接安排、强化董事及高管职责与控股股东行为规范、加强中小股东权利保障、优化破产重整信息披露要求。修订旨在深入贯彻新《公司法》，保护中小投资者合法权益，优化上市公司内部治理。具体措施包括将临时提案股东持股比例由3%降低至1%，明确关联交易审议披露要求，以及完善差异表决权股东相关规定等。</w:t>
      </w:r>
    </w:p>
    <w:p>
      <w:r>
        <w:br w:type="page"/>
      </w:r>
    </w:p>
    <w:p>
      <w:pPr>
        <w:jc w:val="center"/>
      </w:pPr>
      <w:r>
        <w:rPr>
          <w:rFonts w:ascii="微软雅黑" w:hAnsi="微软雅黑" w:eastAsia="微软雅黑"/>
          <w:b/>
          <w:sz w:val="22"/>
        </w:rPr>
        <w:t>二: 综合热点新闻(国际)</w:t>
      </w:r>
    </w:p>
    <w:p>
      <w:pPr>
        <w:spacing w:after="0"/>
      </w:pPr>
      <w:r>
        <w:rPr>
          <w:rFonts w:ascii="微软雅黑" w:hAnsi="微软雅黑" w:eastAsia="微软雅黑"/>
          <w:b/>
          <w:color w:val="000000"/>
          <w:sz w:val="18"/>
        </w:rPr>
        <w:t>标题：三周！标普500脱离回调区间，华尔街为何谨慎看待反弹前景</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标普500指数在三周内从4月8日的收盘低点上涨了近11%，脱离回调区间。市场氛围的转变主要基于美国总统特朗普否认将试图解雇美联储主席鲍威尔，以及美国政府表示贸易协议方面取得的进展。然而，近期商业调查显示企业和消费者对经济和物价前景忧心忡忡，消费者信心指数终值为52.2，处于近三年低位，12个月通胀预期为6.5%，为1981年以来最高。华尔街对美股短期空间持谨慎态度，摩根大通预测短期内标普500指数可能会重新测试5200点。</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标题：科技股发力纳指涨超1%，国际金价激战3300美元关口</w:t>
      </w:r>
    </w:p>
    <w:p>
      <w:pPr>
        <w:spacing w:after="0"/>
      </w:pPr>
      <w:r>
        <w:rPr>
          <w:rFonts w:ascii="微软雅黑" w:hAnsi="微软雅黑" w:eastAsia="微软雅黑"/>
          <w:b/>
          <w:color w:val="000000"/>
          <w:sz w:val="18"/>
        </w:rPr>
        <w:t>来源：第一财经</w:t>
      </w:r>
    </w:p>
    <w:p>
      <w:pPr>
        <w:spacing w:after="0"/>
      </w:pPr>
      <w:r>
        <w:rPr>
          <w:rFonts w:ascii="微软雅黑" w:hAnsi="微软雅黑" w:eastAsia="微软雅黑"/>
          <w:sz w:val="18"/>
        </w:rPr>
        <w:t>摘要：周五美股全线周涨，道指涨0.05%，纳指涨1.26%，标普500指数涨0.74%。本周道指周涨2.5%，纳指周涨6.7%，标普500指数周涨4.6%。密歇根大学4月消费者信心指数终值降至52.2，消费者预计未来5到10年年均通胀率将升至4.4%。国际金价在3300美元展开激烈争夺，纽约商品交易所4月交割的COMEX黄金期货下跌1.49%，报3282.40美元/盎司。</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标题：美学者：美国曾在42年间64次试图秘密颠覆他国政权</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摘要：美国哥伦比亚大学教授萨克斯指出，美国在42年间对他国施行了64次秘密的政权更迭行动，并强调美国是经济胁迫手段的最大施加者。</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标题：释新闻｜印度宣布“掐断”巴基斯坦水源，对两国意味着什么？</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印度宣布暂停1960年签署的《印度河河水条约》，停止向巴基斯坦供水，以回应印控克什米尔地区发生的枪击事件。此举可能对巴基斯坦的农业、经济和生活用水造成严重影响。巴基斯坦方面称印度的做法违背国际共识，是一场“水资源战争”。分析人士认为，巴基斯坦可能通过国际法律途径寻求解决方案，而印度此举可能在国内获得支持。</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标题：美限制对华芯片销售，英伟达面临损失</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英伟达表示，在美国政府限制其H20人工智能芯片对中国出口后，公司将面临55亿美元的损失。中国作为该公司该款芯片的重要市场，预计此次出口限制将对其业务造成影响。英伟达指出，美国政府限制H20芯片对中国销售是因为担心这些芯片可能被用于超级计算机。尽管H20的计算能力低于英伟达的其他芯片，但其与内存芯片和其他计算芯片的高速连接能力仍然很强。美国政府此前告知英伟达，向中国出口H20芯片需要获得许可，日前又告知英伟达这些规定将无限期实施。受此消息影响，英伟达股价在盘后交易中下跌了约6%。</w:t>
      </w:r>
    </w:p>
    <w:p>
      <w:r>
        <w:br w:type="page"/>
      </w:r>
    </w:p>
    <w:p>
      <w:pPr>
        <w:jc w:val="center"/>
      </w:pPr>
      <w:r>
        <w:rPr>
          <w:rFonts w:ascii="微软雅黑" w:hAnsi="微软雅黑" w:eastAsia="微软雅黑"/>
          <w:b/>
          <w:sz w:val="22"/>
        </w:rPr>
        <w:t>三: 汽车类热点新闻</w:t>
      </w:r>
    </w:p>
    <w:p>
      <w:pPr>
        <w:spacing w:after="0"/>
      </w:pPr>
      <w:r>
        <w:rPr>
          <w:rFonts w:ascii="微软雅黑" w:hAnsi="微软雅黑" w:eastAsia="微软雅黑"/>
          <w:b/>
          <w:color w:val="000000"/>
          <w:sz w:val="18"/>
        </w:rPr>
        <w:t>标题：特斯拉在美份额跌至40%</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标普全球汽车数据显示，今年2月份美国纯电动汽车注册量同比增长14%至89,728辆，市场份额从一年前的6.1%增长至7.2%。特斯拉在美国纯电动汽车市场的注册量下降4.2%至35,159辆，市场份额降至39.2%，较去年2月下降了7.6个百分点。通用汽车和本田汽车2月份在美国市场的注册量较上年同期增加了约10,000辆，其中本田Prologue和讴歌ZDX车型的注册量显著增长。特斯拉在加州的电动汽车份额从一年前的55.5%下滑至今年第一季度的43.9%。Rivian公司2月份在美国的电动汽车注册量下降23%，至2,501辆。消费者对油电混合动力汽车的兴趣增加，可能是电动汽车普及速度放缓的原因之一。</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标题：福特在华业务盈利9亿美元</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摘要：福特汽车副董事长John Lawler透露，福特在华业务（含中国出口业务）去年实现了9亿美元的息税前利润。福特在中国市场进行业务重组以遏制财务亏损，并推行“轻资产”战略。尽管中国市场环境艰难，福特2024年在华业务仍实现盈利。福特和通用汽车等老牌车企在中国的市场处境日益艰难，而比亚迪和特斯拉等品牌在销量上占据主导地位。福特目前正专注于将中国作为一个出口枢纽。美国总统特朗普实施的关税政策让福特等车企在中国的业务变得更加复杂。</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标题：全球电动汽车Q1销量增长29% 破410万辆</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年3月全球电动汽车销量攀升至170万辆，推动第一季度总销量达到410万辆，同比增长29%。欧洲电动汽车销量稳步增长22%，达到90万辆，主要由纯电动汽车（BEV）的推动。北美电动汽车市场2025年一季度销量同比增长16%，达到50万辆，但政策不确定性笼罩市场前景。中国持续领跑全球电动汽车市场，2025年第一季度销量同比攀升36%至240万辆。特斯拉Model X/S等美产进口车型或因关税调整，价格可能会几乎翻倍。</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标题：中国车企一季度在欧洲的汽车销量增78%</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今年第一季度，中国汽车制造商在欧洲的销量同比增长78%，达到148,096辆，市场份额从2024年同期的2.5%上升至4.5%。然而，中国产纯电动汽车在欧洲的销量仅增长29%，市场份额为7.9%，与上年持平。插电式混合动力汽车销量增长368%，市场份额几乎翻了三倍，达到14%。油电混合动力车型和汽油车型的销量增长100%，市场份额从2024年的44%提升至47%。欧盟提议让汽车制造商在三年内达成2025年的排放目标，新标准要求销售20%至25%的电动汽车。MG和奇瑞汽车可能难以达成2025年二氧化碳排放目标。MG第一季度销量增长三分之一，达到76,583辆；比亚迪销量增长近四倍，达到27,365辆；奇瑞销量从去年第一季度的413辆增长至15,663辆。</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标题：2025第四届中国车联网安全大会</w:t>
      </w:r>
    </w:p>
    <w:p>
      <w:pPr>
        <w:spacing w:after="0"/>
      </w:pPr>
      <w:r>
        <w:rPr>
          <w:rFonts w:ascii="微软雅黑" w:hAnsi="微软雅黑" w:eastAsia="微软雅黑"/>
          <w:b/>
          <w:color w:val="000000"/>
          <w:sz w:val="18"/>
        </w:rPr>
        <w:t>来源：盖世汽车</w:t>
      </w:r>
    </w:p>
    <w:p>
      <w:pPr>
        <w:spacing w:after="0"/>
      </w:pPr>
      <w:r>
        <w:rPr>
          <w:rFonts w:ascii="微软雅黑" w:hAnsi="微软雅黑" w:eastAsia="微软雅黑"/>
          <w:sz w:val="18"/>
        </w:rPr>
        <w:t>摘要：2025第四届中国车联网安全大会将围绕智能网联汽车的安全研发、安全运营、云安全、数据合规及跨境流通等核心议题，邀请来自OEM、零部件供应商、安全解决方案提供商的众多专家，分享最新技术成果与实践经验，共谋智能网联汽车安全发展之路。会议将于2025年举行，旨在应对智能网联汽车发展带来的网络安全、信息安全和数据安全挑战，构建全方位的防护体系，确保云管端各环节的安全可控。</w:t>
      </w:r>
    </w:p>
    <w:p>
      <w:pPr>
        <w:jc w:val="center"/>
      </w:pPr>
      <w:r>
        <w:rPr>
          <w:rFonts w:ascii="微软雅黑" w:hAnsi="微软雅黑" w:eastAsia="微软雅黑"/>
          <w:b/>
          <w:sz w:val="22"/>
        </w:rPr>
        <w:t>四: 疑似重复信息新闻</w:t>
      </w:r>
    </w:p>
    <w:p>
      <w:pPr>
        <w:spacing w:after="0"/>
      </w:pPr>
      <w:r>
        <w:rPr>
          <w:rFonts w:ascii="微软雅黑" w:hAnsi="微软雅黑" w:eastAsia="微软雅黑"/>
          <w:b/>
          <w:color w:val="000000"/>
          <w:sz w:val="18"/>
        </w:rPr>
        <w:t>标题：我驻美使馆：中美并没有就关税问题磋商谈判，更谈不上达成协议</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国驻美使馆回应美方关于中美关税问题磋商的言论，指出中美双方并没有就关税问题进行磋商或谈判，更谈不上达成协议。中方强调，如果美方真的想通过对话谈判解决问题，应纠正错误，停止威胁讹诈，彻底取消所有对华单边关税措施，并在平等、尊重、互惠的基础上同中方对话。</w:t>
      </w:r>
    </w:p>
    <w:p>
      <w:pPr>
        <w:spacing w:line="0" w:lineRule="auto" w:before="0" w:after="0"/>
        <w:jc w:val="center"/>
        <w:pBdr>
          <w:bottom w:val="single" w:sz="6" w:space="1" w:color="000000"/>
        </w:pBdr>
      </w:pPr>
    </w:p>
    <w:p>
      <w:pPr>
        <w:spacing w:after="0"/>
      </w:pPr>
      <w:r>
        <w:rPr>
          <w:rFonts w:ascii="微软雅黑" w:hAnsi="微软雅黑" w:eastAsia="微软雅黑"/>
          <w:b/>
          <w:color w:val="000000"/>
          <w:sz w:val="18"/>
        </w:rPr>
        <w:t>标题：以高质量发展的确定性应对外部不确定性——从中央政治局会议看经济工作着力点</w:t>
      </w:r>
    </w:p>
    <w:p>
      <w:pPr>
        <w:spacing w:after="0"/>
      </w:pPr>
      <w:r>
        <w:rPr>
          <w:rFonts w:ascii="微软雅黑" w:hAnsi="微软雅黑" w:eastAsia="微软雅黑"/>
          <w:b/>
          <w:color w:val="000000"/>
          <w:sz w:val="18"/>
        </w:rPr>
        <w:t>来源：澎湃新闻</w:t>
      </w:r>
    </w:p>
    <w:p>
      <w:pPr>
        <w:spacing w:after="0"/>
      </w:pPr>
      <w:r>
        <w:rPr>
          <w:rFonts w:ascii="微软雅黑" w:hAnsi="微软雅黑" w:eastAsia="微软雅黑"/>
          <w:sz w:val="18"/>
        </w:rPr>
        <w:t>摘要：中共中央政治局4月25日召开会议，分析研究当前经济形势和经济工作，强调以高质量发展的确定性应对外部环境急剧变化的不确定性。会议提出了一系列重要部署，包括着力稳就业、稳企业、稳市场、稳预期，加紧实施更加积极有为的宏观政策，增强消费对经济增长的拉动作用，多措并举帮扶困难企业，用深化改革开放的办法解决发展中的问题，持续用力防范化解重点领域风险，以及着力保障和改善民生。会议还特别提到要加快地方政府专项债券、超长期特别国债等发行使用，适时降准降息，设立服务消费与养老再贷款等具体措施。</w:t>
      </w:r>
    </w:p>
    <w:p>
      <w:pPr>
        <w:spacing w:after="0"/>
      </w:pPr>
      <w:r>
        <w:rPr>
          <w:rFonts w:ascii="微软雅黑" w:hAnsi="微软雅黑" w:eastAsia="微软雅黑"/>
          <w:b/>
          <w:color w:val="000000"/>
          <w:sz w:val="18"/>
        </w:rPr>
        <w:t>标题：2025年04月26日汽车相关企业股市情况</w:t>
      </w:r>
    </w:p>
    <w:p>
      <w:pPr>
        <w:spacing w:after="0"/>
      </w:pPr>
      <w:r>
        <w:rPr>
          <w:rFonts w:ascii="微软雅黑" w:hAnsi="微软雅黑" w:eastAsia="微软雅黑"/>
          <w:b/>
          <w:color w:val="000000"/>
          <w:sz w:val="18"/>
        </w:rPr>
        <w:t>来源：百度</w:t>
      </w:r>
    </w:p>
    <w:p>
      <w:pPr>
        <w:spacing w:after="0"/>
      </w:pPr>
      <w:r>
        <w:rPr>
          <w:rFonts w:ascii="微软雅黑" w:hAnsi="微软雅黑" w:eastAsia="微软雅黑"/>
          <w:sz w:val="18"/>
        </w:rPr>
        <w:t>摘要：见下图</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jc w:val="center"/>
    </w:pPr>
    <w:r>
      <w:rPr>
        <w:rFonts w:ascii="微软雅黑" w:hAnsi="微软雅黑" w:eastAsia="微软雅黑"/>
        <w:sz w:val="18"/>
      </w:rPr>
      <w:t>第</w:t>
      <w:fldChar w:fldCharType="begin"/>
      <w:instrText xml:space="preserve">PAGE</w:instrText>
      <w:fldChar w:fldCharType="end"/>
    </w:r>
    <w:r>
      <w:rPr>
        <w:rFonts w:ascii="微软雅黑" w:hAnsi="微软雅黑" w:eastAsia="微软雅黑"/>
        <w:sz w:val="18"/>
      </w:rPr>
      <w:t>页 | 2025年04月26日</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right"/>
    </w:pPr>
    <w:r>
      <w:rPr>
        <w:rFonts w:ascii="微软雅黑" w:hAnsi="微软雅黑" w:eastAsia="微软雅黑"/>
        <w:color w:val="000000"/>
        <w:sz w:val="18"/>
      </w:rPr>
      <w:t xml:space="preserve">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