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rFonts w:ascii="微软雅黑" w:hAnsi="微软雅黑" w:eastAsia="微软雅黑"/>
          <w:b/>
          <w:sz w:val="22"/>
        </w:rPr>
        <w:t>2025年05月16日 新闻晚报</w:t>
      </w:r>
    </w:p>
    <w:p>
      <w:pPr>
        <w:jc w:val="center"/>
      </w:pPr>
      <w:r>
        <w:rPr>
          <w:rFonts w:ascii="微软雅黑" w:hAnsi="微软雅黑" w:eastAsia="微软雅黑"/>
          <w:b/>
          <w:sz w:val="22"/>
        </w:rPr>
        <w:t>一: 综合热点新闻(国内)</w:t>
      </w:r>
    </w:p>
    <w:p>
      <w:pPr>
        <w:spacing w:after="0"/>
      </w:pPr>
      <w:r>
        <w:rPr>
          <w:rFonts w:ascii="微软雅黑" w:hAnsi="微软雅黑" w:eastAsia="微软雅黑"/>
          <w:b/>
          <w:color w:val="000000"/>
          <w:sz w:val="18"/>
        </w:rPr>
        <w:t>标题：司法保障资本市场改革发展纲领性文件出炉</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摘要：5月15日，最高人民法院、中国证监会联合发布《关于严格公正执法司法 服务保障资本市场高质量发展的指导意见》（以下简称《指导意见》），这是司法保障资本市场改革发展的一部纲领性文件。《指导意见》提出23条意见，聚焦投资者保护、规范市场参与人行为、强化司法行政协同和完善组织保障四个方面，旨在建立健全投资者友好型法律体系，推动资本市场从“规模扩张”向“质量提升”的关键转型。2024年，证监会依法从严查办证券期货违法案件739件，作出处罚决定592件，处罚责任主体1327人（家）次，市场禁入118人；向公安机关移送涉嫌犯罪案件和线索178件。</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标题：剑指网络侵权盗版！四部门启动“剑网2025”专项行动</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国家版权局、工业和信息化部、公安部、国家互联网信息办公室四部门联合启动打击网络侵权盗版“剑网2025”专项行动，聚焦6个主要方面开展重点整治，包括视听作品版权、动漫及游戏领域版权、计算机软件版权、网络存储+传播领域版权、网络销售版权、流媒体智能终端版权。专项行动于5月至11月开展，旨在强化版权全链条保护，赋能经济社会高质量发展。</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标题：我国城市规划“全面体检”套餐出台</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摘要：我国城市规划“全面体检”套餐出台，具体内容未在提供的新闻片段中详细描述。</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标题：外贸产品拓内销提速增量（人民眼·提振消费）</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外贸产品拓内销提速增量，北京、浙江、福建、广东等地加快推动内外贸一体化。自商务部4月启动外贸优品中华行活动以来，至5月初，已累计达成采购意向逾167亿元，吸引2400多家外贸企业和6500多家采购商参加。中共中央政治局会议强调加快推动内外贸一体化，中办、国办印发的《提振消费专项行动方案》提出支持外贸产品拓内销。2024年我国有出口实绩的企业中，接近85%的企业同时开展内销业务，内销金额占销售总额的近75%。各地通过线上线下渠道助力外贸企业拓内销，如京东、腾讯、美团等电商平台推出扶持措施，广东省与电商平台签订战略合作框架协议。外贸企业通过技术赋能和柔性生产增强内销产品竞争力，如浙江宁波金山双鹿电池有限公司通过技术赋能让产品成为刚需，广东东莞市玩乐童话婴儿用品有限公司通过AI赋能产品升级。</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标题：国税总局上海市税务局回应刘晓庆被举报涉嫌偷漏税：正依法依规办理</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摘要：国税总局上海市税务局回应刘晓庆被举报涉嫌偷漏税：正依法依规办理。近日，该局收到王某对刘某某及相关企业存在涉税问题的举报，目前正在依法依规办理。</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标题：侵害孩子者，必严惩不贷！3名性侵害未成年人罪犯被执行死刑</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5月16日，经最高人民法院核准，强奸未成年人的罪犯赵某、王某某、陈某某被依法执行死刑。这三名罪犯分别利用不同身份和手段对未成年人实施性侵害，犯罪情节特别恶劣。最高人民法院刑一庭负责人强调，此次执行死刑彰显了人民法院坚决依法严惩此类犯罪的鲜明态度，并呼吁社会各界共同努力，加强对未成年人的保护。</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标题：总产值破2000亿，深圳要做机器人第一城？</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深圳机器人产业链总产值首次突破2000亿元，同比增长12.58%，略高于深圳市战略性新兴产业增加值10.50%的增速。深圳集聚了超1600家机器人企业，形成全产业链条。华为与优必选科技、越疆科技与腾讯云、自变量机器人科技等企业近期在具身智能和人形机器人领域展开合作或完成融资，推动产业创新和场景应用落地。根据《深圳市具身智能机器人技术创新与产业发展行动计划（2025-2027年）》，深圳计划到2027年在机器人关键技术和产业规模上取得突破，实现关联产业规模达到1000亿元以上。2024年深圳机器人产业专利申请20531件，同比增长35.56%，专利授权7575件，同比增长36.14%。</w:t>
      </w:r>
    </w:p>
    <w:p>
      <w:r>
        <w:br w:type="page"/>
      </w:r>
    </w:p>
    <w:p>
      <w:pPr>
        <w:jc w:val="center"/>
      </w:pPr>
      <w:r>
        <w:rPr>
          <w:rFonts w:ascii="微软雅黑" w:hAnsi="微软雅黑" w:eastAsia="微软雅黑"/>
          <w:b/>
          <w:sz w:val="22"/>
        </w:rPr>
        <w:t>二: 综合热点新闻(国际)</w:t>
      </w:r>
    </w:p>
    <w:p>
      <w:pPr>
        <w:spacing w:after="0"/>
      </w:pPr>
      <w:r>
        <w:rPr>
          <w:rFonts w:ascii="微软雅黑" w:hAnsi="微软雅黑" w:eastAsia="微软雅黑"/>
          <w:b/>
          <w:color w:val="000000"/>
          <w:sz w:val="18"/>
        </w:rPr>
        <w:t>标题：华尔街到陆家嘴精选｜美国零售销售几无增长！金价仍处牛市？苹果供应链加速向印度转移 特朗普反对？美国拟下调银行资本金要求？</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美国4月零售销售环比仅增0.1%，显示消费者在担心关税导致涨价之际收缩支出。美联储主席鲍威尔表示正在审核政策制定框架调整，未来通胀波动性或高于2010年代。黄金市场出现大行情，现货黄金价格单日涨幅近2%，华尔街大佬对金价前景持乐观态度。特朗普签署行政命令大幅降低美国药价，影响全球制药公司股价。富士康获印度政府批准建设大型芯片制造厂，苹果正将iPhone组装转移至印度。美国拟下调银行资本金要求，可能激励银行在国债市场中介方面发挥更大作用。中美实施关税调整措施后，美国进口商从中国的进口订单大幅增加，集装箱运输预订量飙升277%。</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标题：三大股指涨跌互现，纳指结束六连阳，美国4月PPI环比意外下跌0.5%</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美股三大指数走势分化，道琼斯工业平均指数涨0.65%，标普500指数涨0.41%，纳斯达克指数跌0.18%。美国4月PPI环比下降0.5%，创五年来最大月降幅。科技板块整体承压，中概股普遍走弱，纳斯达克中国金龙指数下跌2.37%。阿里巴巴集团发布2025财年第四季度及全年业绩，营收略低于市场预期。美国4月零售销售环比增速放缓，PPI意外下滑，缓解市场对通胀的担忧。美联储主席鲍威尔表示，美联储正在对其货币政策框架进行五年一次的评估。大宗商品市场方面，黄金价格上涨，国际油价走低。</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标题：特朗普希望油价低于50美元？美国能源部长有不同意见</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特朗普希望油价低于50美元/桶，但美国能源部长赖特认为这一价格对美国油气生产商来说“不可持续”。高盛分析师推测特朗普对西得克萨斯中质原油（WTI）的偏好似乎在40至50美元/桶左右。国家能源委员会专家咨询委员会委员王能全教授表示，60-62美元/桶的WTI原油价格是美国页岩油生产商的盈亏平衡点。截至发稿时，布伦特原油价格为63.46美元/桶， WTI原油价格为60.58美元/桶，今年以来双双下跌约15%。美国能源信息署（EIA）的最新数据显示，美国本周的原油产量从上周的1346.5万桶/日下降至1336.7万桶/日。国际能源署（IEA）当地时间5月15日发布的最新月度报告中也下调了美国页岩油产量的预期。</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标题：美官方将使用华为芯片视作违反美出口管制行为，外交部回应</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5月16日，美国商务部工业与安全局发布公告，将使用华为昇腾芯片视为违反美国出口管制的行为，并警告使用美国人工智能芯片训练中国人工智能模型的潜在后果。中国外交部发言人林剑回应称，美方此举是泛化国家安全概念，滥用出口管制和“长臂管辖”，无端对中国芯片产品和人工智能产业进行恶意封锁和打压，严重违反市场规则，扰乱全球产供链稳定，损害中国企业权益。中方对此坚决反对，敦促美方纠正错误行径，停止无底线打压，并将采取坚决措施维护自身权利和企业权益。</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标题：中期选举后第三势力成“莎拉弹劾案”关键，菲律宾权斗更趋复杂激烈</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菲律宾2025年中期选举结果显示，前总统杜特尔特及其家族成员在选举中取得显著成绩，而总统马科斯阵营表现不如预期。此次选举被视为两大家族“代理人战争”的中期阶段，杜特尔特家族的政治能量和当前民意得到验证。莎拉弹劾案的成败、2028年总统大选的竞争者以及第三方势力对家族政治的冲击程度成为关键看点。选举后，菲政局恐更加复杂，两大家族的权力斗争预计将愈演愈烈。</w:t>
      </w:r>
    </w:p>
    <w:p>
      <w:r>
        <w:br w:type="page"/>
      </w:r>
    </w:p>
    <w:p>
      <w:pPr>
        <w:jc w:val="center"/>
      </w:pPr>
      <w:r>
        <w:rPr>
          <w:rFonts w:ascii="微软雅黑" w:hAnsi="微软雅黑" w:eastAsia="微软雅黑"/>
          <w:b/>
          <w:sz w:val="22"/>
        </w:rPr>
        <w:t>三: 汽车类热点新闻</w:t>
      </w:r>
    </w:p>
    <w:p>
      <w:pPr>
        <w:spacing w:after="0"/>
      </w:pPr>
      <w:r>
        <w:rPr>
          <w:rFonts w:ascii="微软雅黑" w:hAnsi="微软雅黑" w:eastAsia="微软雅黑"/>
          <w:b/>
          <w:color w:val="000000"/>
          <w:sz w:val="18"/>
        </w:rPr>
        <w:t>标题：中国新能源汽车销量2025年将达1650万辆</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中国电动汽车百人会副秘书长师建华预测，到2025年，中国新能源汽车销量（包含出口量）将同比增长约30%，达到1650万辆，占汽车总销量的比重将超过50%。根据中国汽车工业协会的统计，2024年中国新能源汽车累计销售1286.6万辆，同比增长35.5%。2024年7月，新能源乘用车单月渗透率首次超过50%，并持续到当年11月，显示新能源汽车已成为国内汽车市场消费主流。</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标题：合资新能源发展势头正猛</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在新能源发展的下半场，合资品牌在产品布局方面有了很大的转变，从上海车展以及近期日系、德系品牌新车亮相就能看出其进步。奔驰、宝马等旗下新车信息不断被曝光，这些新车大多搭载新能源动力。丰田、三鞭等车企也有新能源车型相关的动作。合资品牌的改变在产品上体现得很直观，如东风日产N7、广汽丰田铂智3X、马自达EZ - 60等车销售火爆。合资品牌在新能源产品规划方面也更成体系，日产加快相关战略落地，丰田公布电气化规划，上汽大众也有高效的产品推出计划。2025-05-16 13:39:51</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标题：比亚迪欧洲总部落户匈牙利</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比亚迪欧洲总部落户匈牙利，选址布达佩斯第11区，将承担销售与售后、车辆认证及测试、车型本地化设计与功能开发三大核心职能，并创造上千个就业岗位。比亚迪董事长兼总裁王传福表示，这是比亚迪国际化发展的重要里程碑，也是中匈合作潜力的见证。比亚迪欧洲总部将聚焦智能辅助驾驶技术与下一代汽车电气化技术的研发，并与匈牙利高校及当地企业合作推动新能源汽车产业链升级。比亚迪自2016年起在匈牙利投资建厂，2023年宣布建设首个欧洲新能源乘用车生产基地。去年比亚迪以427万辆新能源汽车销量蝉联全球冠军，今年在欧洲市场持续突破。</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标题：文远知行开启纯无人Robotaxi试运营</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文远知行WeRide在阿布扎比开启纯无人驾驶Robotaxi试运营，打造中东地区第一支纯无人Robotaxi车队。从2025年第二季度起，车队将在阿布扎比公开道路开展没有安全员的纯无人试运营。文远知行于2023年7月获得阿联酋首个自动驾驶路跑牌照，近期与Uber扩大战略合作，计划未来五年新增15座国际城市部署自动驾驶Robotaxi服务。2024年12月双方在阿布扎比成功落地Robotaxi公开运营服务，车队规模于2025年年中将达到50台。</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标题：宁德时代装车量下降4.8%</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今年前4个月，我国动力电池市场累计装车量达184.3GWh，同比增长52.8%。宁德时代虽以42.9%的市场份额稳居榜首，但同比下降4.77%。市场竞争加剧，比亚迪、中创新航等企业市场份额增长。磷酸铁锂电池装车量同比增长88%，占比达81.4%，而三元锂电池装车量同比下降15.9%。宁德时代需调整产品结构和市场策略，加强研发和海外市场拓展。</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标题：传小马智行秘密申请赴香港上市</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摘要：日产汽车首席执行官Ivan Espinosa表示愿意与中国合资伙伴东风集团共享其全球生产网络，并计划将东风日产Frontier Pro插电式混合动力皮卡出口至全球市场。现代汽车宣布与沙特阿拉伯公共投资基金成立合资企业，在沙特阿拉伯建设新生产设施。长城汽车董事长魏建军透露将在巴西打造研发中心和制造基地。大众汽车集团宣布自2025年7月1日起，Werner Tietz将兼任集团研发主管。福特因制动故障在美国召回逾27.3万辆SUV。小马智行已秘密提交赴中国香港上市的申请，联合创始人彭军和楼天城自愿延长股份锁定期540天。Luminar宣布任命Paul Ricci为新任首席执行官，第一季度净亏损同比收窄39.1%。特斯拉首席执行官埃隆·马斯克预计人形机器人或将达到数百亿规模。</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标题：AEBS将强制安装，相关国标草案公开征求意见</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中国即将强制安装AEBS（自动紧急制动系统），相关国家标准《轻型汽车自动紧急制动系统技术要求及试验方法》已完成起草，进入公开征求意见阶段，截止日期为2025年6月30日。此举旨在提升汽车安全性，影响汽车市场竞争格局。</w:t>
      </w:r>
    </w:p>
    <w:p>
      <w:pPr>
        <w:jc w:val="center"/>
      </w:pPr>
      <w:r>
        <w:rPr>
          <w:rFonts w:ascii="微软雅黑" w:hAnsi="微软雅黑" w:eastAsia="微软雅黑"/>
          <w:b/>
          <w:sz w:val="22"/>
        </w:rPr>
        <w:t>四: 疑似重复信息新闻</w:t>
      </w:r>
    </w:p>
    <w:p>
      <w:pPr>
        <w:spacing w:after="0"/>
      </w:pPr>
      <w:r>
        <w:rPr>
          <w:rFonts w:ascii="微软雅黑" w:hAnsi="微软雅黑" w:eastAsia="微软雅黑"/>
          <w:b/>
          <w:color w:val="000000"/>
          <w:sz w:val="18"/>
        </w:rPr>
        <w:t>标题：俄乌伊斯坦布尔谈判即将开始</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土耳其伊斯坦布尔当地时间当天10时45分（北京时间15时45分）土耳其、美国、乌克兰将举行三方会谈；伊斯坦布尔当地时间12时30分（北京时间17时30分），将举行俄罗斯、乌克兰、土耳其的三方会谈。会谈地点都在伊斯坦布尔多尔玛巴赫切宫总统府。此外，还计划安排一次美国、俄罗斯、乌克兰和土耳其的四方会谈，但目前这一四方对话尚未得到确认。此次会谈如能成行，将是2022年3月以来俄乌首次直接对话。俄方代表团由俄总统助理梅金斯基担任团长，乌方代表团由乌克兰国防部长乌梅罗夫率领。</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标题：打击网络侵权盗版！四部门联合启动“剑网2025”专项行动</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国家版权局、工业和信息化部、公安部、国家互联网信息办公室四部门联合启动打击网络侵权盗版“剑网2025”专项行动，自2005年起第21次开展，旨在聚焦网络侵权盗版热点难点问题，查处大案要案，保护网络版权秩序。专项行动于2025年5月至11月开展，重点整治视听作品、动漫及游戏、计算机软件、网络存储+传播、网络销售、流媒体智能终端等6个领域的版权问题。</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标题：土耳其、美国、乌克兰三边会议开始，稍后再举行俄乌土三方会谈</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土耳其、美国和乌克兰的三边会议于2025年5月16日开始，随后将举行俄罗斯、乌克兰和土耳其的三方会谈。美国代表团包括国务卿鲁比奥等，乌克兰代表团包括总统办公室主任叶尔马克等。会谈地点在伊斯坦布尔多尔玛巴赫切宫总统府。</w:t>
      </w:r>
    </w:p>
    <w:p>
      <w:pPr>
        <w:spacing w:after="0"/>
      </w:pPr>
      <w:r>
        <w:rPr>
          <w:rFonts w:ascii="微软雅黑" w:hAnsi="微软雅黑" w:eastAsia="微软雅黑"/>
          <w:b/>
          <w:color w:val="000000"/>
          <w:sz w:val="18"/>
        </w:rPr>
        <w:t>标题：2025年05月16日汽车相关企业股市情况</w:t>
      </w:r>
    </w:p>
    <w:p>
      <w:pPr>
        <w:spacing w:after="0"/>
      </w:pPr>
      <w:r>
        <w:rPr>
          <w:rFonts w:ascii="微软雅黑" w:hAnsi="微软雅黑" w:eastAsia="微软雅黑"/>
          <w:b/>
          <w:color w:val="000000"/>
          <w:sz w:val="18"/>
        </w:rPr>
        <w:t>来源：百度</w:t>
      </w:r>
    </w:p>
    <w:p>
      <w:pPr>
        <w:spacing w:after="0"/>
      </w:pPr>
      <w:r>
        <w:rPr>
          <w:rFonts w:ascii="微软雅黑" w:hAnsi="微软雅黑" w:eastAsia="微软雅黑"/>
          <w:sz w:val="18"/>
        </w:rPr>
        <w:t>摘要：见下图</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rPr>
        <w:rFonts w:ascii="微软雅黑" w:hAnsi="微软雅黑" w:eastAsia="微软雅黑"/>
        <w:sz w:val="18"/>
      </w:rPr>
      <w:t>第</w:t>
      <w:fldChar w:fldCharType="begin"/>
      <w:instrText xml:space="preserve">PAGE</w:instrText>
      <w:fldChar w:fldCharType="end"/>
    </w:r>
    <w:r>
      <w:rPr>
        <w:rFonts w:ascii="微软雅黑" w:hAnsi="微软雅黑" w:eastAsia="微软雅黑"/>
        <w:sz w:val="18"/>
      </w:rPr>
      <w:t>页 | 2025年05月16日</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rPr>
        <w:rFonts w:ascii="微软雅黑" w:hAnsi="微软雅黑" w:eastAsia="微软雅黑"/>
        <w:color w:val="000000"/>
        <w:sz w:val="18"/>
      </w:rP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