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微软雅黑" w:hAnsi="微软雅黑" w:eastAsia="微软雅黑"/>
          <w:b/>
          <w:sz w:val="22"/>
        </w:rPr>
        <w:t>2025年05月23日 新闻晚报</w:t>
      </w:r>
    </w:p>
    <w:p>
      <w:pPr>
        <w:jc w:val="center"/>
      </w:pPr>
      <w:r>
        <w:rPr>
          <w:rFonts w:ascii="微软雅黑" w:hAnsi="微软雅黑" w:eastAsia="微软雅黑"/>
          <w:b/>
          <w:sz w:val="22"/>
        </w:rPr>
        <w:t>一: 综合热点新闻(国内)</w:t>
      </w:r>
    </w:p>
    <w:p>
      <w:pPr>
        <w:spacing w:after="0"/>
      </w:pPr>
      <w:r>
        <w:rPr>
          <w:rFonts w:ascii="微软雅黑" w:hAnsi="微软雅黑" w:eastAsia="微软雅黑"/>
          <w:b/>
          <w:color w:val="000000"/>
          <w:sz w:val="18"/>
        </w:rPr>
        <w:t>标题：劳动能力鉴定办法出台！部分地区或可一网申办</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人力资源社会保障部、国家卫生健康委23日发布《劳动能力鉴定管理办法》，规范劳动能力鉴定流程，加强便民服务，部分地区或可一网申办。办法规定劳动能力鉴定分为初次鉴定和再次鉴定，对初次鉴定不服可申请再次鉴定，再次鉴定为最终结论。办法要求劳动能力鉴定委员会及时审核材料，材料不完整的需在5个工作日内告知补正，完整的应在60日内作出鉴定结论，复杂情况可延长30日。鉴定结论送达时限从20日压缩至15日，并要求加强无障碍环境建设。</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标题：应急管理部发文规范精细化工企业安全管理</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应急管理部发布强制性安全标准《精细化工企业安全管理规范》，填补精细化工企业安全管理标准空白，将于2025年10月18日实施。该标准针对精细化工企业安全风险防控的薄弱环节，明确技术措施和管理要求，旨在提升本质安全水平和安全保障能力。</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标题：国家医保局：医保即时结算已覆盖77%统筹地区</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国家医保局宣布，截至5月6日，全国启动医保即时结算的统筹地区达到300个，占全国统筹地区的77%，覆盖36.18万家定点医药机构。此举旨在提升医保基金结算、清算效率，缓解定点医药机构垫付资金压力。国家医保局要求2025年全国80%左右统筹地区基本实现基本医保基金与定点医药机构即时结算。各统筹地区可根据本地情况选择不同方式推进改革。今年以来，全国300个启动即时结算的统筹地区已累计拨付医保基金3001亿元；29个省份的284个统筹地区已预付医保资金763亿元。</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标题：粤港澳大湾区、长江经济带等区域前4个月外贸成绩亮眼</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今年前4个月，我国粤港澳大湾区、长江经济带、黄河流域等区域外贸成绩亮眼。粤港澳大湾区内地9市进出口2.85万亿元，增长5.4%，占广东整体进出口总值的96.4%。长江经济带11省市外贸进出口值6.54万亿元，同比增长5.3%，占全国进出口总值的46.2%。黄河流域9省区进出口2.05万亿元，同比增长8.8%。各地区依托产业优势和区位特点，展现出不同的外贸增长亮点。</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标题：开放是破题之钥，合作是前进之道（和音）</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2025年全球贸易投资促进峰会在北京举行，来自48个国家和地区的近400名外方代表围绕“拥抱数智时代，携手共同发展”主题进行交流。峰会展示了中国对开放发展的坚定承诺和国际社会对中国机遇的期待。70家在华外资企业高层代表参会，包括29家全球500强企业。峰会发布的《2025年全球贸易投资促进峰会北京倡议》呼吁全球工商界在数智时代加强合作。中国—东盟自贸区3.0版谈判全面完成，标志着双方在自由贸易方向上的坚定步伐。中国倡导开放贸易，反对单边主义、保护主义和霸凌行径，致力于推动构建开放型世界经济。</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标题：日方以违反渔业法规为由抓扣台湾渔船，外交部：已向日方提出严正交涉</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5月23日，外交部发言人毛宁在例行记者会上回应了日本公务船以违反渔业法规为由抓扣台湾渔船“红彩头6号”的事件。毛宁表示，中国政府高度重视维护包括台湾地区在内中国渔民的合法权益，并指出根据中日渔业协定，日方无权在有关水域对中方渔船采取执法措施。中方已向日方提出严正交涉，要求其立即纠正错误做法，并采取有效措施防止类似事件再次发生。</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标题：五座万亿之城去年人口增长逾十万，“增量冠军”重回一线城市</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在2024年，中国大陆27座GDP万亿城市中，深圳以19.94万人的常住人口增长成为“人口增量冠军”，广州、合肥、长沙、杭州的增量也超过十万人。这些城市作为承载经济、人口等发展要素的主要空间形式，其作用在全国人口总量持续减少的背景下愈发凸显。深圳凭借活跃的经济和年轻态的人口结构，以及高附加值产业对人才的需求，再次登顶人口增量榜。此外，长沙、杭州等城市也保持了每年10万人以上的人口增量。各地正通过完善生育支持政策体系，努力推动建设生育友好型社会。</w:t>
      </w:r>
    </w:p>
    <w:p>
      <w:r>
        <w:br w:type="page"/>
      </w:r>
    </w:p>
    <w:p>
      <w:pPr>
        <w:jc w:val="center"/>
      </w:pPr>
      <w:r>
        <w:rPr>
          <w:rFonts w:ascii="微软雅黑" w:hAnsi="微软雅黑" w:eastAsia="微软雅黑"/>
          <w:b/>
          <w:sz w:val="22"/>
        </w:rPr>
        <w:t>二: 综合热点新闻(国际)</w:t>
      </w:r>
    </w:p>
    <w:p>
      <w:pPr>
        <w:spacing w:after="0"/>
      </w:pPr>
      <w:r>
        <w:rPr>
          <w:rFonts w:ascii="微软雅黑" w:hAnsi="微软雅黑" w:eastAsia="微软雅黑"/>
          <w:b/>
          <w:color w:val="000000"/>
          <w:sz w:val="18"/>
        </w:rPr>
        <w:t>标题：无差别抛售下长期日债收益率创历史新高，美债投资者急了？</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全球债券市场遭遇无差别抛售，长期日债收益率创历史新高，30年期美债收益率突破5%，10年期美债收益率攀升超过15个基点。日本央行官员表示不急于介入干预债市，而日债收益率上升可能对美债产生负面影响。日本投资者和机构可能将资金从美国撤回日本，影响全球资产。</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标题：道指收平，纳指小幅走高，特朗普减税法案获众院通过</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美股三大股指收盘涨跌互现，道琼斯工业平均指数微跌1.35点，报41859.09点；标普500指数下跌2.60点，或0.04%，至5842.01点；纳斯达克综合指数则上涨53.09点，涨幅0.28%，收报18925.74点。大型科技股多数走高，特斯拉上涨近2%，谷歌涨逾1%，微软、英伟达、亚马逊与Meta涨幅均不足1%。中概股表现较弱，纳斯达克中国金龙指数下跌1.18%。美国总统特朗普的税收和支出议案在众议院以微弱优势通过，预计将在未来十年额外增加3.8万亿美元赤字。该法案目前已提交参议院审议。经济数据方面，美国初请失业金人数下降2000人，经季调后为22.7万人，低于预期的23万人。</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标题：大涨98.4%！米价领跑日本4月CPI，前首相之子小泉进次郎将如何破局？</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日本4月除生鲜食品以外的消费者物价指数（CPI）同比上升3.5%，其中大米类价格同比上涨98.4%，创下自1971年有可比数据以来的最大涨幅。日本新农林水产大臣小泉进次郎面临遏制米价上涨、建立透明价格监控机制及帮助自民党稳住夏季参议院选情三大挑战。小泉提出政府将力争使大米售价低于3000日元，并计划最早6月上架2000日元区间的储备米。</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标题：哈佛四分之一都是国际学生，禁收国际学生将冲击美国经济</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特朗普政府禁止哈佛大学招收国际学生，并要求现有国际学生转学，否则将失去在美国的合法身份。哈佛大学国际学生占总学生数的四分之一以上，此举可能影响大学收入。国际学生去年为美国经济贡献近440亿美元，创造37.8万个就业岗位。哈佛大学认为政府行为非法，前财政部长萨默斯批评此举荒谬。美国高校领导联名信反对政府过度干预高等教育。</w:t>
      </w:r>
    </w:p>
    <w:p>
      <w:r>
        <w:br w:type="page"/>
      </w:r>
    </w:p>
    <w:p>
      <w:pPr>
        <w:jc w:val="center"/>
      </w:pPr>
      <w:r>
        <w:rPr>
          <w:rFonts w:ascii="微软雅黑" w:hAnsi="微软雅黑" w:eastAsia="微软雅黑"/>
          <w:b/>
          <w:sz w:val="22"/>
        </w:rPr>
        <w:t>三: 汽车类热点新闻</w:t>
      </w:r>
    </w:p>
    <w:p>
      <w:pPr>
        <w:spacing w:after="0"/>
      </w:pPr>
      <w:r>
        <w:rPr>
          <w:rFonts w:ascii="微软雅黑" w:hAnsi="微软雅黑" w:eastAsia="微软雅黑"/>
          <w:b/>
          <w:color w:val="000000"/>
          <w:sz w:val="18"/>
        </w:rPr>
        <w:t>标题：比亚迪在欧销量首超特斯拉</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比亚迪在欧洲的电动汽车销量首次超过特斯拉，4月在欧洲的纯电动汽车销量达到7,231辆，同比增长169%，而特斯拉4月份在欧洲的新车注册量同比下跌49%至7,165辆。若计入插电式混合动力汽车的销量，比亚迪对特斯拉的领先优势更为显著，4月份整体销量同比暴涨359%。比亚迪即将在欧洲推出Dolphin Surf纯电动掀背车，售价低于2.3万欧元，以加强其在欧洲的电动汽车产品阵容。</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标题：美国参议院投票否决加州禁售燃油车计划</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美国参议院于5月22日投票否决了加州拟定的2035年禁售纯燃油车的计划，该计划之前已被全美11个州采用，这些州的汽车市场规模占全美三分之一。表决结果将交予总统审议。此议案旨在撤销美国环保署授予加州的豁免权，该豁免权允许加州规定到2035年该州所售汽车80%应为电动车。对于通用、丰田等车企来说，这一表决结果是个胜利，它们曾大力游说政府反对该法规。加州州长称参议院投票非法，并表示会在法庭抗争。环保组织主席谴责投票结果，而车企联盟对投票结果表示欢迎。此外，5月22日美国参议院还撤销了加州另外两项规定。</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标题：现代汽车因需求放缓调整电动车型生产</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摘要：现代汽车因全球电动汽车需求放缓，计划暂停蔚山第一工厂第二条生产线运营，该生产线负责生产IONIQ 5和KONA电动汽车，目前等待工会批准，若确定，5月27日至30日将停产。此前在今年2月和4月已分别有过为期五天的停产。</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标题：印度为EV充电基础设施拨款超2亿欧元</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摘要：印度政府宣布了一项总额为200亿卢比（约合2.06亿欧元）的重大投资计划，名为“PM E-Drive”，旨在加速电动汽车普及，构建覆盖全国的电动汽车配套生态系统。该计划由印度总理纳伦德拉·莫迪提出并启动，拟在全国范围内部署约7.2万个公共充电站，重点沿50条国家级高速公路走廊布局。印度重工业部（MHI）计划在高密度区域建设新型公共充电站，并考虑将充电站需求整合工作交由国有企业巴拉特重型电气有限公司（BHEL）负责。BHEL还将开发统一应用程序，实现实时查询充电桩状态、预约充电时段、在线支付及监控充电进度等功能。MHI正联合石油天然气部（MOP&amp;NG）与道路交通部（MoRTH），共同推进充电基础设施建设。</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标题：孚能科技固态电池研发取得重要进展</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孚能科技在固态电池研发方面取得显著成果，其半固态电池已获广汽、东风等客户认可，是行业内最早实现半固态电池产业化的企业之一。第一代半固态电池于2022年装车，第二代能量密度超330Wh/kg，循环寿命超4000圈，预计2025年量产，有望在低空经济等领域商业化。</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标题：吉利银河M9米兰全球首秀</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摘要：5月22日，吉利银河旗下AI科技大六座旗舰SUV吉利银河M9在意大利米兰迎来全球首秀。作为吉利银河达成百万销量后推出的首款旗舰产品，吉利银河M9基于GEA Evo原生架构打造，在AI的全面赋能下，在空间、性能、节能、智能座舱、智能安全五大方面，树立大六座SUV的价值新标杆。吉利银河M9的发布，是吉利银河品牌技术积淀的厚积薄发，更在于和吉利发展战略的同频共振。吉利银河迅速赢得全球消费者青睐，从第一台车下线开始，仅用25个月就成为最快达成销量百万的新能源品牌。吉利银河M9以五大同级第一的颠覆性实力，重塑大六座旗舰SUV新标杆，开启大六座SUV智能出行新时代。</w:t>
      </w:r>
    </w:p>
    <w:p>
      <w:pPr>
        <w:jc w:val="center"/>
      </w:pPr>
      <w:r>
        <w:rPr>
          <w:rFonts w:ascii="微软雅黑" w:hAnsi="微软雅黑" w:eastAsia="微软雅黑"/>
          <w:b/>
          <w:sz w:val="22"/>
        </w:rPr>
        <w:t>四: 疑似重复信息新闻</w:t>
      </w:r>
    </w:p>
    <w:p>
      <w:pPr>
        <w:spacing w:after="0"/>
      </w:pPr>
      <w:r>
        <w:rPr>
          <w:rFonts w:ascii="微软雅黑" w:hAnsi="微软雅黑" w:eastAsia="微软雅黑"/>
          <w:b/>
          <w:color w:val="000000"/>
          <w:sz w:val="18"/>
        </w:rPr>
        <w:t>标题：推荐美方以哈佛大学与中国政府有合作为由禁止其招国际学生，外交部回应</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5月23日，外交部发言人毛宁在例行记者会上回应了特朗普政府宣布禁止哈佛大学招收国际学生，并强迫目前在哈佛就读的国际学生转学甚至失去留学生身份的决定。美国国土安全部称此举是因为哈佛大学与中国政府有合作。毛宁表示，中美教育合作是互利的，中方一贯反对将教育合作政治化，美方有关做法只会损害美国的形象和国际信誉，中方将坚定维护海外中国学生和学者的正当合法权益。</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标题：释新闻｜美国政府禁止哈佛招收国际学生，将造成何种影响？</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美国政府禁止哈佛大学招收国际学生，并撤销其学生和交流访问者项目（SEVP）认证，影响2025至2026学年的外籍学生招生。哈佛大学现有6793名国际学生，占总入学人数的27%。此举源于美国政府认为哈佛大学未能保护犹太学生免受骚扰和暴力侵害，且该校被指控依赖外国学生资金。哈佛大学表示将采取法律措施应对，并警告此举可能削弱学术能力和美国软实力。</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标题：欧盟第17轮对俄制裁列单中企，中国驻欧盟使团：已提出严正交涉</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欧盟在第17轮对俄罗斯制裁中将中国企业列入清单，中国驻欧盟使团对此表示强烈不满和坚决反对，并已向欧方提出严正交涉。中方反对没有国际法依据、未经联合国安理会授权的单边制裁，并敦促欧方停止在对俄经贸合作问题上搞双重标准，停止损害中国企业合法权益。中方将采取必要措施维护自身正当权益。</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标题：美国参议院投票否决加州电动汽车法规</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美国参议院在5月22日通过投票，否决了加州制定的2035年前禁售纯燃油车的计划，该计划此前已被全美11个州采纳。此次表决结果将提交美国总统唐纳德·特朗普审议，旨在撤销美国环保署于去年12月授予加州的豁免权。加州州长Gavin Newsom表示将抗争这一违宪行为。环保组织和部分车企对此反应不一。美国参议院还通过了另一项表决，撤销了EPA在2023年批准的两项加州规定。美国众议院在5月22日通过的另外一项法案将给电动汽车行业带来多重变革。</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标题：比亚迪在欧洲的电动汽车销量首次超过特斯拉</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比亚迪在欧洲的电动汽车销量首次超过特斯拉，4月在欧洲的纯电动汽车销量达到7,231辆，同比增长169%，而特斯拉的销量同比下跌49%至7,165辆。比亚迪在欧洲的整体销量同比暴涨359%。比亚迪计划在欧洲推出Dolphin Surf纯电动掀背车，售价低于2.3万欧元，以加强其在欧洲的电动汽车产品阵容。</w:t>
      </w:r>
    </w:p>
    <w:p>
      <w:pPr>
        <w:spacing w:after="0"/>
      </w:pPr>
      <w:r>
        <w:rPr>
          <w:rFonts w:ascii="微软雅黑" w:hAnsi="微软雅黑" w:eastAsia="微软雅黑"/>
          <w:b/>
          <w:color w:val="000000"/>
          <w:sz w:val="18"/>
        </w:rPr>
        <w:t>标题：2025年05月23日汽车相关企业股市情况</w:t>
      </w:r>
    </w:p>
    <w:p>
      <w:pPr>
        <w:spacing w:after="0"/>
      </w:pPr>
      <w:r>
        <w:rPr>
          <w:rFonts w:ascii="微软雅黑" w:hAnsi="微软雅黑" w:eastAsia="微软雅黑"/>
          <w:b/>
          <w:color w:val="000000"/>
          <w:sz w:val="18"/>
        </w:rPr>
        <w:t>来源：百度</w:t>
      </w:r>
    </w:p>
    <w:p>
      <w:pPr>
        <w:spacing w:after="0"/>
      </w:pPr>
      <w:r>
        <w:rPr>
          <w:rFonts w:ascii="微软雅黑" w:hAnsi="微软雅黑" w:eastAsia="微软雅黑"/>
          <w:sz w:val="18"/>
        </w:rPr>
        <w:t>摘要：见下图</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rPr>
        <w:rFonts w:ascii="微软雅黑" w:hAnsi="微软雅黑" w:eastAsia="微软雅黑"/>
        <w:sz w:val="18"/>
      </w:rPr>
      <w:t>第</w:t>
      <w:fldChar w:fldCharType="begin"/>
      <w:instrText xml:space="preserve">PAGE</w:instrText>
      <w:fldChar w:fldCharType="end"/>
    </w:r>
    <w:r>
      <w:rPr>
        <w:rFonts w:ascii="微软雅黑" w:hAnsi="微软雅黑" w:eastAsia="微软雅黑"/>
        <w:sz w:val="18"/>
      </w:rPr>
      <w:t>页 | 2025年05月23日</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rPr>
        <w:rFonts w:ascii="微软雅黑" w:hAnsi="微软雅黑" w:eastAsia="微软雅黑"/>
        <w:color w:val="000000"/>
        <w:sz w:val="18"/>
      </w:rP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