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2025年05月28日 新闻早报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标题：生态环境法典草案有何亮点？生态环境部回应热点</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生态环境法典草案正在公开征求意见，生态环境部法规与标准司司长赵柯介绍了法典草案的五方面亮点：延续性、现实性、体系性、创新性和前瞻性。法典草案保留了现行法律的核心内容，解决了管理实践中的痛点难点问题，删除了重复、矛盾条款，将改革举措上升为法律制度，并对新兴领域作出引领性规定。法典颁布后，将取代环境保护法，统领生态环境法律法规体系，现行的10部法律将不再保留。生态环境部将推动配套制度的全面清理和升级改造，进一步完善生态环境法律法规体系。</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标题：五部门20条举措进一步健全就业公共服务体系</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人力资源社会保障部等五部门26日发布关于进一步健全就业公共服务体系的意见，提出20条服务举措，旨在健全均等普惠、功能完备、帮扶精准、基础巩固、数字赋能的就业公共服务体系，提高服务可及性和均等化、专业化水平。意见围绕“为谁服务、服务什么、怎样服务、谁来服务、服务提效”五个方面，明确了新时代健全就业公共服务体系的实施路径。具体措施包括明确属地服务责任，统一服务事项标准，合理布局国家公共就业服务区域中心，全面发布就业信息，精准开展职业介绍和职业指导等。</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标题：奋力打头阵 阔步走在前——经济大省挑大梁观察</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经济大省在全国经济中扮演着‘压舱石’和‘火车头’的角色，今年全国两会上，习近平总书记强调经济大省要挑大梁。面对复杂严峻的外部环境，经济大省如浙江、广东、山东、江苏等通过跨境电商、外贸优品对接会等方式，推动外贸增长。一季度，经济十强省份进出口总额占全国76%，社会消费品零售总额占全国65%。经济大省还通过科技创新和产业创新融合，如山东的机器人产业、四川的固态电池产业园等，推动新质生产力发展。深化改革开放方面，经济大省如浙江、江苏、湖南等通过破除地方保护、财税金融体制改革等措施，优化营商环境。河南通过‘海陆空数’四条丝路扩大对外开放。经济大省还注重民生福祉，如山东的养老服务、广东的医保补助等，促进全体人民共同富裕。一季度，经济十强省份GDP占全国61%，7个省份增速高于全国5.4%。</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标题：新华视点丨向新求变！看各地发展的硬核答卷</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摘要：新闻标题为'新华视点丨向新求变！看各地发展的硬核答卷'，内容未提供具体细节，但标题暗示了关于中国各地发展新策略和变化的报道。</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标题：前四个月规模以上工业企业利润加快恢复</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摘要：前四个月规模以上工业企业利润加快恢复</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标题：推荐山东高密一化工厂爆炸，已致5人遇难6人失联</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5月27日11时57分左右，山东省潍坊市高密市友道化学有限公司发生爆炸，造成5人死亡，6人失联，19人轻伤。事故发生后，山东省委、省政府高度重视，立即启动应急处置机制，成立联合救援指挥部，全力组织开展救援工作。目前现场搜救和清理工作仍在进行中。</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标题：已处罚3家大型网站平台！中央网信办：坚决打击“开盒”乱象</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央网信办近日印发通知，要求从多个维度强化“开盒”问题整治工作，并已处罚3家大型网站平台。通知要求阻断“开盒”信息传播、完善预警机制、加大惩治力度等，并召开专题部署会议，要求多家重点网站平台切实履行主体责任，以“零容忍”态度坚决打击“开盒”乱象。中央网信办强调，利用“开盒”等方式非法获取并公开他人个人信息涉嫌违法犯罪，性质极为恶劣，将继续坚持高强度打击和高力度保护并重。</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标题：受贿1.34亿余元，湖南省人大常委会原副主任彭国甫一审被判死缓</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湖南省人大常委会原副主任彭国甫因受贿1.34亿余元，被海南省第一中级人民法院一审判处死刑，缓期二年执行，剥夺政治权利终身，并处没收个人全部财产。彭国甫在2004年至2023年期间，利用职务便利为他人提供帮助，非法收受财物。法院认为其受贿数额特别巨大，情节特别严重，社会影响特别恶劣，但鉴于其有未遂情节、认罪悔罪等，依法判处死缓。</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标题：滚动更新丨美股三大指数持续上涨，特朗普媒体科技集团跌近12%</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股三大指数持续上涨，纳指涨幅扩大至2.3%，标普500指数涨1.55%，道指涨1.17%。科技七巨头整体上涨，特斯拉涨超3%，马斯克重新回到7×24小时工作的状态。中概股表现分化，拼多多跌超17%，第一季度盈利大幅下滑。特朗普媒体科技集团跌近12%，为自3月10日以来最大单日跌幅。</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标题：德国新总理为美欧贸易谈判“加把火”：谈不成可能报复美国科技企业</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德国新任总理默茨表示，如果与特朗普政府的贸易冲突升级，欧盟可能会对美国科技企业采取报复措施。默茨强调欧盟需要保护自身利益，并指出美国在对欧盟的服务贸易中存在顺差。美国总统特朗普威胁将从6月1日起对欧盟进口产品征收50%的关税，但在与欧盟委员会主席冯德莱恩通话后，表示将征税期限推迟到7月9日。德国汽车工业协会主席米勒称关税是一种“保护主义”，将对全球经济增长产生负面影响并影响就业。德国占欧盟汽车出口量的近65%，因此德国汽车制造商受到特朗普关税打击尤为严重。欧盟已批准对价值210亿欧元的美国商品征收关税，以回应特朗普可能迅速实施的钢铝关税。</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标题：成效显著，任重道远——谈中美日内瓦经贸高层会谈｜专家热评</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2025年5月10日至11日，中美在日内瓦举行经贸高层会谈，并发布《中美日内瓦经贸会谈联合声明》。双方取消了91%的加征关税，暂停24%的关税90天，保留10%的对等关税。会谈成果远超市场预期，全球金融市场反应积极。双方同意建立中美经贸磋商机制，就经贸领域各自关切的问题保持密切沟通。尽管会谈取得显著成效，中美经贸合作仍面临挑战，包括部分加征关税的保留、90天暂停期后关税政策的不确定性、美国国内政治因素的干扰以及长期结构性问题的待解决。</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标题：乌方称中国向俄军工厂供应重要产品，外交部回应</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5月27日，外交部发言人毛宁在例行记者会上回应乌克兰对外情报局局长关于中国向20家俄罗斯军工厂供应重要产品的指控，强调中方在乌克兰问题上的立场一贯明确，积极致力于止战停火，劝和促谈，并从未向冲突任何一方提供致命性武器，严格管控军民两用物项。</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标题：【国际快讯】沃尔沃汽车将裁员3000人</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沃尔沃汽车宣布将裁员3,000人，主要是白领岗位，作为重组计划的一部分以应对高成本、电动汽车需求放缓及贸易关税不确定性。现代汽车计划上调美国市场汽车价格应对特朗普政府的25%关税。现代汽车获准在印度设立全球创新研发中心，投资852.8亿卢比。德国法院对前大众汽车高管在“柴油门”丑闻中的判决。瑞银预计2024年至2027年全球电动汽车销量年复合增长率为17%。法拉第未来获得600台FX Super One的预订单。三星SDI增资计划筹集约1.65万亿韩元。小马智行与迪拜合作落地Robotaxi车队。英伟达计划为中国推出更便宜的AI芯片。Zoox发起自动驾驶软件召回。英国SUV新车型占比达52%。德国和法国新车市场销量下降。蒂森克虏伯计划拆分业务板块。Motherson对马瑞利的收购或受阻。现代摩比斯过去三年专利数突破7,500项。</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标题：印度Motherson欲收购马瑞利</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印度汽车零部件供应商Motherson向陷入困境的马瑞利发出收购要约，此举是Motherson进入全球汽车零部件供应商百强榜前十的关键一步。马瑞利由KKR控股，将与债权人会面商讨以Motherson为战略投资者的庭外重组方案。Motherson计划以2096面值购买马瑞利债务，KKR将注销股权。多数马瑞利债权人支持该交易，需就债务减记达成一致。马瑞利是诸多车企核心供应商，近期营业利润转正且2024年利润率有望高于2023年。Motherson目前在全球汽车零部件供应商百强榜排第14位，马瑞利排第23位，收购若成功可使Motherson成为顶级供应商。Motherson成功源于多元化战略，以汽车零部件为核心，依托印度市场，不依赖特定产品、客户或市场。1993年Motherson在印度上市，市值约150亿美元，客户众多。除汽车行业，Motherson还为其他行业提供零部件，过去二十年收购了45家公司。</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标题：英国或提高“奢侈税”门槛以促进EV销量</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英国政府考虑上调4万英镑的“高价汽车附加费”（ECS）起征点，以促进电动汽车销量。现行政策规定售价超过4万英镑的车辆需在五年内每年额外缴纳425英镑的车辆消费税（VED），叠加195英镑的标准年费，电动汽车在六年内累计增加3,100英镑税费负担。2025年4月1日起，ECS与VED开始适用于电动汽车，导致电动汽车市场份额从25.3%降至20.4%。英国汽车制造商和贸易商协会（SMMT）数据显示，电动车销量占比仅10.7%。英国道路事务大臣Lilian Greenwood表示政府正在重新评估零排放车辆的ECS政策，考虑上调零排放汽车的起征点。汽车行业如Stellantis与福特对现行税制提出批评。</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标题：哈尔滨开展汽车促销活动，发放4800万补贴</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摘要：哈尔滨自5月28日起开展名为'夏韵冰城 惠购启程'的2025汽车促销活动，发放4800万元购车补贴，补贴遵循先到先得原则。补贴对象为个人消费者，不受地域限制，购买'国六标准并且座位数在7座及以下的家用新乘用车（包含新能源汽车）'可享受政府补贴。购车价格在15万元以下、15万元以上到30万元之间、超过30万元的车辆分别可得到3000元、4000元、5000元补贴。</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标题：2025年05月28日汽车相关企业股市情况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2025年05月28日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