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微软雅黑" w:hAnsi="微软雅黑" w:eastAsia="微软雅黑"/>
          <w:b/>
          <w:sz w:val="22"/>
        </w:rPr>
        <w:t>2025年06月09日 新闻晚报</w:t>
      </w:r>
    </w:p>
    <w:p>
      <w:pPr>
        <w:jc w:val="center"/>
      </w:pPr>
      <w:r>
        <w:rPr>
          <w:rFonts w:ascii="微软雅黑" w:hAnsi="微软雅黑" w:eastAsia="微软雅黑"/>
          <w:b/>
          <w:sz w:val="22"/>
        </w:rPr>
        <w:t>一: 综合热点新闻(国内)</w:t>
      </w:r>
    </w:p>
    <w:p>
      <w:pPr>
        <w:spacing w:after="0"/>
      </w:pPr>
      <w:r>
        <w:rPr>
          <w:rFonts w:ascii="微软雅黑" w:hAnsi="微软雅黑" w:eastAsia="微软雅黑"/>
          <w:b/>
          <w:color w:val="000000"/>
          <w:sz w:val="18"/>
        </w:rPr>
        <w:t>标题：前5月我国外贸保持较强韧性</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海关总署9日发布数据显示，今年前5个月，我国货物贸易进出口总值17.94万亿元，同比增长2.5%，增速较前4个月加快0.1个百分点。其中，出口增长7.2%，进口下降3.8%。5月当月进出口3.81万亿元，比去年同期增长2.7%。出口方面，机电产品仍为我国出口主力，前5个月出口机电产品6.4万亿元，同比增长9.3%。进口方面，铁矿砂、原油和煤等主要大宗商品进口价格下跌，机电产品进口值增长。前5个月，民营企业进出口10.25万亿元，同比增长7%，占我国外贸总值的57.1%。东盟、欧盟、美国为我国前三大贸易伙伴，我国与东盟贸易总值为3.02万亿元，同比增长9.1%。</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标题：督察通报：山西、山东、陕西3省涉水资源问题突出</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中央生态环境保护督察通报山西、山东、陕西3省在黄河流域存在违法违规取水用水问题。具体包括：陕西省宝鸡市违法取水问题较多，山西省晋中市和吕梁市违规取水屡查屡犯，地方部门违规审批取水许可，山东省东营市违法新建、扩建化工项目，以及虚报节水工作等相关数据。督察指出，这些行为违反了《地下水管理条例》和黄河保护法的相关规定。</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标题：国家骨干冷链物流基地数量升至105个</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国家发展改革委近日发布新一批国家骨干冷链物流基地建设名单，新增广州、杭州、盐田等19个基地，使总数达到105个，覆盖全国31个省（区、市）。这些基地在健全冷链物流网络、满足居民消费需求、引领冷链物流数字化绿色化转型发展等方面具有示范作用。国家发展改革委已完成《“十四五”冷链物流发展规划》中到2025年布局建设100个左右国家骨干冷链物流基地的目标任务，下一步将指导各地高质量推进基地建设，提升冷链物流体系运行水平。</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标题：首次、突破、一流！上个周末，大国工程好消息不断</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2025年6月7日至8日，我国多个重大工程项目取得显著进展。中国散裂中子源（CSNS）直线加速器首支紧凑型P波段大功率超构材料速调管通过验收，实现国际首次突破。湖南平江抽水蓄能电站1号引水斜井全线贯通，我国抽水蓄能装机容量连续9年居世界首位。渤海垦利10-2油田群开发项目中心处理平台完成海上浮托安装，浮托安装技术达世界一流水平。新疆奇台110米口径全向可动射电望远镜项目土建主体工程封顶，建成后将成世界最大、精度最高的百米级全向可动射电望远镜。</w:t>
      </w:r>
    </w:p>
    <w:p>
      <w:r>
        <w:br w:type="page"/>
      </w:r>
    </w:p>
    <w:p>
      <w:pPr>
        <w:jc w:val="center"/>
      </w:pPr>
      <w:r>
        <w:rPr>
          <w:rFonts w:ascii="微软雅黑" w:hAnsi="微软雅黑" w:eastAsia="微软雅黑"/>
          <w:b/>
          <w:sz w:val="22"/>
        </w:rPr>
        <w:t>二: 综合热点新闻(国际)</w:t>
      </w:r>
    </w:p>
    <w:p>
      <w:pPr>
        <w:spacing w:after="0"/>
      </w:pPr>
      <w:r>
        <w:rPr>
          <w:rFonts w:ascii="微软雅黑" w:hAnsi="微软雅黑" w:eastAsia="微软雅黑"/>
          <w:b/>
          <w:color w:val="000000"/>
          <w:sz w:val="18"/>
        </w:rPr>
        <w:t>标题：稳定币“第一股”Circle火爆，分析师：监管从碎片化走向体系化</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稳定币“第一股”Circle（CRCL）上市首日即火爆，股价和市值持续攀升。分析师指出，美国《GENIUS法案》与中国香港的《稳定币条例》标志着稳定币监管从碎片化走向体系化。花旗预测，全球稳定币市值将从2025年的2300亿美元增长至2030年的1.6万亿美元。法案为稳定币发行商制定了详细的监管框架，包括储备资产隔离、赎回保障及反洗钱合规要求，旨在加强消费者保护，防范金融风险。美国总统特朗普曾表示支持加密货币，其领导下的新监管机构推出了对银行友好的加密货币政策。</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标题：日美五轮关税谈判无果叠加债市波动影响未消，日本经济如何破局？</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日本经济面临日美五轮关税谈判无果和债市波动的双重挑战。日本第一季度GDP折合年率下降0.2%，个人消费增长0.1%，企业支出增长1.1%，净出口拖累经济增长0.8个百分点。日美关税谈判围绕扩大贸易、重新审视非关税措施和加强经济安全合作展开，但未达成共识。日本债市近期波动显著，特别是超长期国债拍卖遇冷，反映出对日本央行加息、财政稳定性及全球长债收益率高企的担忧。日本政府和央行正关注债市波动，可能调整国债发行策略。</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标题：雅思考试主办方股价暴跌背后：多国签证政策收紧、不确定性大增</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雅思考试主办方IDP教育因多国签证政策收紧和不确定性增加，宣布下调2025财年盈利预期，预计学生安置量和语言考试数量将分别下跌28%-30%和18%-20%。IDP教育股价单日暴跌48%，创8年以来最大跌幅。主要留学目的地如澳大利亚、加拿大、英国和美国近期均收紧或调整了留学及移民政策，影响了IDP的业务。IDP计划进军中国市场，亲自举办雅思考试，以应对当前挑战。</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标题：全球前瞻｜中美经贸磋商机制首次会议本周举行，特朗普生日当天将举行阅兵式</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本周（6月9日至6月15日）将举行中美经贸磋商机制首次会议，中共中央政治局委员、国务院副总理何立峰将访问英国并与美方代表会谈。美国计划于6月14日在华盛顿举行大规模阅兵式，纪念美国陆军成立250周年，同日为美国总统特朗普79岁生日。此外，七国集团（G7）领导人峰会将于6月15日至17日在加拿大举行，预计将讨论美国关税等议题。</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标题：观察｜绕过州长派遣国民卫队进驻洛杉矶，特朗普在宪政边界的又一次试探？</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美国总统特朗普绕过加州州长纽森，直接下令派遣2000名国民警卫队进驻洛杉矶，以应对非法移民和抗议活动。这是约60年来美国总统首次在未经州长同意的情况下采取此类行动。特朗普援引《美国法典》第10编第12406条，而非《叛乱法》，授权五角大楼在美国国内部署军事人员。此举引发法律专家和政治对手的批评，认为特朗普在宪政边界上进行试探。加州州长纽森要求撤销部署决定，称未遵循适当法律程序。特朗普的行政命令可能面临司法挑战。</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标题：马斯克VS特朗普：一场非典型决裂背后的政治野心</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马斯克与特朗普因《大而美支出法案》产生公开冲突，马斯克通过社交媒体X批评该法案，并指责特朗普政府。特朗普最初试图安抚马斯克，但马斯克的批评升级，包括威胁支持第三党、爆料特朗普与爱泼斯坦案的联系等。这场冲突揭示了马斯克在政治上的独立影响力及其与特朗普政府的紧张关系。马斯克的行为可能基于维护个人声誉和政治野心，而非单纯的经济利益。</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标题：直播丨洛杉矶非法移民“围捕战”持续升级，美加州“失控”如何收场？</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因抓捕非法移民引发的冲突正在洛杉矶持续升级。当地时间6月7日，美国总统特朗普下令向加利福尼亚州洛杉矶部署国民警卫队，应对当地搜捕非法移民引发的骚乱。8日早晨，首批国民警卫队进驻洛杉矶，中午便与抗议者发生了冲突。街头对峙、投掷石块、催泪弹笼罩……加州为何“失控”？事态将如何发酵？北京时间9日，澎湃新闻直击加州，并连线专家带来最新解读。</w:t>
      </w:r>
    </w:p>
    <w:p>
      <w:r>
        <w:br w:type="page"/>
      </w:r>
    </w:p>
    <w:p>
      <w:pPr>
        <w:jc w:val="center"/>
      </w:pPr>
      <w:r>
        <w:rPr>
          <w:rFonts w:ascii="微软雅黑" w:hAnsi="微软雅黑" w:eastAsia="微软雅黑"/>
          <w:b/>
          <w:sz w:val="22"/>
        </w:rPr>
        <w:t>三: 汽车类热点新闻</w:t>
      </w:r>
    </w:p>
    <w:p>
      <w:pPr>
        <w:spacing w:after="0"/>
      </w:pPr>
      <w:r>
        <w:rPr>
          <w:rFonts w:ascii="微软雅黑" w:hAnsi="微软雅黑" w:eastAsia="微软雅黑"/>
          <w:b/>
          <w:color w:val="000000"/>
          <w:sz w:val="18"/>
        </w:rPr>
        <w:t>标题：工信部主导L2级辅助驾驶强制性国标制定</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工信部正在推动制定《智能网联汽车组合驾驶辅助系统安全要求》强制性国家标准，旨在提升L2级辅助驾驶的安全性能，减少安全事故。该标准适用于装配了组合驾驶辅助系统的M和N类汽车，规定了通用技术要求及审核要求，明确典型工况的试验方法。主要起草单位包括中国汽车技术研究中心有限公司、东风汽车集团股份有限公司、华为技术有限公司等。项目于2024年3月22日申报，公示日期为2025年6月4日—2025年7月4日，预计最早2026年1月发布实施。</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标题：马瑞利考虑申请破产保护</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摘要：日本共同社6月7日报道，由美国私募股权公司KKR控股的马瑞利（Marelli Corp.）正考虑在美国申请第11章破产保护，以确保业务运营不中断。马瑞利正在与贷款方谈判以获取额外贷款，并计划在谈判期间保持业务照常运营。此外，马瑞利正在权衡印度Motherson集团的收购要约，部分债权人尚未同意该计划。马瑞利在2024年《美国汽车新闻》发布的全球汽车零部件供应商百强榜中排名第23位。KKR通过整合重组两家经营困难的大型供应商主导创建了马瑞利。自2022年以来，马瑞利因新冠疫情及日产汽车销量下滑的冲击，始终未能使财务与销售重回正轨。</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标题：一场全球车企停产“地震”正在到来</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2025年6月6日，日本铃木汽车公司因中国含稀土材料零部件未能按时到货，宣布部分生产线暂停运营。此事件引发全球汽车产业新一轮断供危机，包括福特、丰田、大众、宝马在内的多家跨国车企面临供应链风险。稀土在汽车产业中扮演重要角色，特别是在电动化趋势下，中国在全球稀土供应链中占据主导地位，控制着约65%的开采产能和88%的精炼市场份额。中国对特定高纯度稀土化合物及相关合金材料的出口实行更严格的配额管理和技术审核标准，引发全球汽车行业焦虑。各国政府和车企正寻求替代方案，包括开发无稀土电机技术，但目前市场上仍未出现成熟且大规模应用的无稀土电机。</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标题：八成车企负债率高于60%，意味着什么？</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文章分析了2025年第一季度国内外车企的经营状况，指出跨国车企在营收和销量上仍占优势，但中国车企在增长速度上表现更佳。中国车企如比亚迪和吉利在新能源领域实现了业绩和销量的双重增长，而跨国车企则面临电动化转型的挑战。文章还讨论了车企的高负债率问题，指出这是汽车行业的普遍现象，并强调有息负债和应付账款管理对财务健康的重要性。最后，文章提到中国汽车市场的内卷现象加剧，现金储备和研发投入成为车企竞争的关键。</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标题：Waymo获准在旧金山湾区扩展自动驾驶出租车业务</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谷歌母公司Alphabet旗下的自动驾驶部门Waymo获加利福尼亚州监管部门批准，将扩大其在旧金山半岛及以南地区（包括圣何塞市）的自动驾驶出租车运营范围。Waymo表示不会立即在旧金山湾区扩大服务范围，所有服务扩展都将遵循循序渐进的原则推进。Waymo是目前美国唯一开展无人驾驶出租车付费载客服务的公司，部署了超过1,500辆自动驾驶汽车，每周完成超过25万次载客出行服务。Waymo将与Uber合作在亚特兰大面向特定用户群体推出限定服务，全面推广计划将于今年夏季启动。此外，特斯拉正准备下个月在得克萨斯州奥斯汀推出付费机器人出租车服务。自动驾驶行业的快速发展也伴随着安全隐忧，Waymo公司正在召回1,200多辆自动驾驶汽车以更新软件并解决安全问题。</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标题：福特执行主席警告美国电池税收抵免政策变动风险</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福特汽车执行主席警告美国政府取消针对有中国技术的电动汽车电池生产税收抵免政策的风险，称这将给福特位于密歌根州马歌尔市正在建设的电池工厂带来极大冲击。该工厂建设已完成60%，总投资达30亿美元，计划创造1700个工作岗位，预计2026年投入生产。福特正在游说政界人士保留税收激励措施，同时面临因与宁德时代合作而受部分国会议员审查的情况。美国众议院本月通过的税收改革法案可能禁止向使用部分中国公司生产组件或按与中国公司许可协议生产的电池给予税收抵免。</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标题：巴斯夫等四方合作打造新能源产业链生态闭环</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在2025年上海碳中和博览会期间，巴斯夫、国轩高科、中国燃气、巴斯夫杉杉达成四方战略合作，重点关注储能系统研发、新型电池材料应用、储能项目商业化推广以及绿色能源解决方案等方面，旨在构建新能源产业链生态闭环。合作将推动储能技术创新，促使清洁能源大规模应用，助力'双碳'目标的达成。巴斯夫大中华区负责人、巴斯夫杉杉首席执行官、国轩高科执行总裁和中国燃气董事会主席分别表达了合作的重要性和预期成果。</w:t>
      </w:r>
    </w:p>
    <w:p>
      <w:pPr>
        <w:jc w:val="center"/>
      </w:pPr>
      <w:r>
        <w:rPr>
          <w:rFonts w:ascii="微软雅黑" w:hAnsi="微软雅黑" w:eastAsia="微软雅黑"/>
          <w:b/>
          <w:sz w:val="22"/>
        </w:rPr>
        <w:t>四: 疑似重复信息新闻</w:t>
      </w:r>
    </w:p>
    <w:p>
      <w:pPr>
        <w:spacing w:after="0"/>
      </w:pPr>
      <w:r>
        <w:rPr>
          <w:rFonts w:ascii="微软雅黑" w:hAnsi="微软雅黑" w:eastAsia="微软雅黑"/>
          <w:b/>
          <w:color w:val="000000"/>
          <w:sz w:val="18"/>
        </w:rPr>
        <w:t>标题：前5个月外贸运行有何特点、亮点？一组数据带你看</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今年前5个月，我国货物贸易进出口实现了2.5%的增长，增速逐月回升。5月单月进出口3.81万亿元，同比增长2.7%，其中出口2.28万亿元，环比增长。外资企业进出口5.21万亿元，增长2.3%，占我国进出口总值的29％，有进出口实绩的外资企业数量创5年来同期新高。国家通过制度创新、通关便利、市场拓展等多方面措施助推外贸高质量发展。</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标题：人民日报：车企打“价格战”这种内卷式竞争，没出路更没未来</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人民日报发表文章批评车企之间的“价格战”为内卷式竞争，指出这种竞争方式无助于汽车产业的健康可持续发展，并可能损害消费者权益。文章提到，中国汽车工业协会和工业和信息化部已明确反对无序的“价格战”。数据显示，去年我国汽车产销量创历史新高，但行业利润率下降至不足4%。文章强调，汽车产业链长，无序“价格战”会挤压各环节利润，影响整个产业链。同时，消费者可能因企业为降低成本而降低产品质量和服务标准而受损。文章呼吁车企应通过创新提质、降本增效来合理降价，而非参与无序竞争。</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标题：7天70款车型降价 谁为价格战买单？</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在传统的车市淡季到来之前，汽车行业已开始一轮降价，仅5月23日至5月30日7天，包括比亚迪、吉利、奇瑞等品牌超70款车型开启了降价优惠。比亚迪海鸥智驾版的限时一口价低至5.58万元，凯迪拉克XT4尊贵型一口价为18.99万元，优惠幅度超过8万元。中国汽车工业协会发布倡议，指出无序“价格战”是行业效益下降的重要因素。降价优惠叠加粤港澳大湾区车展让终端市场繁荣，端午假期期间车展的预定成交金额突破40亿元。资本市场担忧价格战对车企利润和供应链韧性的影响，港股汽车板块下跌。汽车行业的利润率持续下降，2024年为4.3%，2025年一季度进一步下降到3.9%。降价潮下，汽车订单成交不易，经销商库存压力增大，二手车市场售价也在压缩。全国工商联汽车经销商商会发布倡议，希望改善汽车经销商生存状况。供应链企业利润空间被压缩，账期压力大，国务院修订的《保障中小企业款项支付条例》已开始执行。</w:t>
      </w:r>
    </w:p>
    <w:p>
      <w:pPr>
        <w:spacing w:after="0"/>
      </w:pPr>
      <w:r>
        <w:rPr>
          <w:rFonts w:ascii="微软雅黑" w:hAnsi="微软雅黑" w:eastAsia="微软雅黑"/>
          <w:b/>
          <w:color w:val="000000"/>
          <w:sz w:val="18"/>
        </w:rPr>
        <w:t>标题：2025年06月09日汽车相关企业股市情况</w:t>
      </w:r>
    </w:p>
    <w:p>
      <w:pPr>
        <w:spacing w:after="0"/>
      </w:pPr>
      <w:r>
        <w:rPr>
          <w:rFonts w:ascii="微软雅黑" w:hAnsi="微软雅黑" w:eastAsia="微软雅黑"/>
          <w:b/>
          <w:color w:val="000000"/>
          <w:sz w:val="18"/>
        </w:rPr>
        <w:t>来源：百度</w:t>
      </w:r>
    </w:p>
    <w:p>
      <w:pPr>
        <w:spacing w:after="0"/>
      </w:pPr>
      <w:r>
        <w:rPr>
          <w:rFonts w:ascii="微软雅黑" w:hAnsi="微软雅黑" w:eastAsia="微软雅黑"/>
          <w:sz w:val="18"/>
        </w:rPr>
        <w:t>摘要：见下图</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rPr>
        <w:rFonts w:ascii="微软雅黑" w:hAnsi="微软雅黑" w:eastAsia="微软雅黑"/>
        <w:sz w:val="18"/>
      </w:rPr>
      <w:t>第</w:t>
      <w:fldChar w:fldCharType="begin"/>
      <w:instrText xml:space="preserve">PAGE</w:instrText>
      <w:fldChar w:fldCharType="end"/>
    </w:r>
    <w:r>
      <w:rPr>
        <w:rFonts w:ascii="微软雅黑" w:hAnsi="微软雅黑" w:eastAsia="微软雅黑"/>
        <w:sz w:val="18"/>
      </w:rPr>
      <w:t>页 | 2025年06月09日</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rPr>
        <w:rFonts w:ascii="微软雅黑" w:hAnsi="微软雅黑" w:eastAsia="微软雅黑"/>
        <w:color w:val="000000"/>
        <w:sz w:val="18"/>
      </w:rP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