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微软雅黑" w:hAnsi="微软雅黑" w:eastAsia="微软雅黑"/>
          <w:b/>
          <w:sz w:val="22"/>
        </w:rPr>
        <w:t>2025年06月19日 新闻晚报</w:t>
      </w:r>
    </w:p>
    <w:p>
      <w:pPr>
        <w:jc w:val="center"/>
      </w:pPr>
      <w:r>
        <w:rPr>
          <w:rFonts w:ascii="微软雅黑" w:hAnsi="微软雅黑" w:eastAsia="微软雅黑"/>
          <w:b/>
          <w:sz w:val="22"/>
        </w:rPr>
        <w:t>一: 综合热点新闻(国内)</w:t>
      </w:r>
    </w:p>
    <w:p>
      <w:pPr>
        <w:spacing w:after="0"/>
      </w:pPr>
      <w:r>
        <w:rPr>
          <w:rFonts w:ascii="微软雅黑" w:hAnsi="微软雅黑" w:eastAsia="微软雅黑"/>
          <w:b/>
          <w:color w:val="000000"/>
          <w:sz w:val="18"/>
        </w:rPr>
        <w:t>标题：国家禁毒办决定将尼秦类物质和12种新精神活性物质纳入管制</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国家禁毒办19日在京召开新闻发布会，决定将尼秦类物质和12种新精神活性物质纳入《非药用类麻醉药品和精神药品管制品种增补目录》，加强监管和打击，严防滥用蔓延。这是继整类列管芬太尼类物质、合成大麻素类物质后在全球又一次监管创新。国家禁毒办副主任单叶骅表示，新精神活性物质管控是国际难题，中国愿与国际社会一道贡献中国方案。</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标题：直击广东怀集抗洪抢险一线</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摘要：新闻标题为'直击广东怀集抗洪抢险一线'，但无法提取具体内容。</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标题：人民日报关注：“3天被拒20次”，老年人租房为何这么难？</w:t>
      </w:r>
    </w:p>
    <w:p>
      <w:pPr>
        <w:spacing w:after="0"/>
      </w:pPr>
      <w:r>
        <w:rPr>
          <w:rFonts w:ascii="微软雅黑" w:hAnsi="微软雅黑" w:eastAsia="微软雅黑"/>
          <w:b/>
          <w:color w:val="000000"/>
          <w:sz w:val="18"/>
        </w:rPr>
        <w:t>来源：人民日报</w:t>
      </w:r>
    </w:p>
    <w:p>
      <w:pPr>
        <w:spacing w:after="0"/>
      </w:pPr>
      <w:r>
        <w:rPr>
          <w:rFonts w:ascii="微软雅黑" w:hAnsi="微软雅黑" w:eastAsia="微软雅黑"/>
          <w:sz w:val="18"/>
        </w:rPr>
        <w:t>摘要：《人民日报》关注老年人租房难问题，报道指出我国70.1%的老年人拥有自有住房，但仍有部分老年人因无自有住房或帮子女照看孩子等原因需要租房。近期一则“为65岁母亲和年迈外婆租房3天被拒20次”的新闻引发关注。老年人租房面临合租被拒、整租价格高、房东担心老人在出租房内出问题等难题。专家建议通过专项立法明确“年龄”作为禁止歧视事由，并配套建立风险共担机制。截至2023年末，我国累计已有716万60周岁及以上老年人享受公租房保障。</w:t>
      </w:r>
    </w:p>
    <w:p>
      <w:r>
        <w:br w:type="page"/>
      </w:r>
    </w:p>
    <w:p>
      <w:pPr>
        <w:jc w:val="center"/>
      </w:pPr>
      <w:r>
        <w:rPr>
          <w:rFonts w:ascii="微软雅黑" w:hAnsi="微软雅黑" w:eastAsia="微软雅黑"/>
          <w:b/>
          <w:sz w:val="22"/>
        </w:rPr>
        <w:t>二: 综合热点新闻(国际)</w:t>
      </w:r>
    </w:p>
    <w:p>
      <w:pPr>
        <w:spacing w:after="0"/>
      </w:pPr>
      <w:r>
        <w:rPr>
          <w:rFonts w:ascii="微软雅黑" w:hAnsi="微软雅黑" w:eastAsia="微软雅黑"/>
          <w:b/>
          <w:color w:val="000000"/>
          <w:sz w:val="18"/>
        </w:rPr>
        <w:t>标题：“大轮转”才刚刚开始？资金继续逃离美国资产，欧洲和新兴市场成新宠</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全球投资者5月继续减持美国股票和美元，转向欧元区股票和新兴市场。美国银行和法兴银行的报告显示，机构投资者对美国资产的信任持续低迷，欧元区股市净增持达到35%，新兴市场也吸引了大量资金流入。美元看空情绪居高不下，投资者对美元的减持程度是过去20年来最高的。法兴银行策略师警告，美国和世界其他地区之间日益加剧的地缘政治紧张局势可能意味着这种资金流动的转变可能才刚刚开始。</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标题：一图读懂｜美联储暗示滞胀压力加剧</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摘要：美联储连续四次按兵不动，暗示滞胀压力加剧。美联储主席鲍威尔在新闻发布会上11次使用“观望”一词，认为当前形势下等待更多经济数据和形势发展的成本“相当低”。</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标题：筛查留学生“网络足迹”？美国政府升级留学生签证审查，教育界担忧</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美国国务院18日通知美驻外使领馆，对所有申请赴美学生签证的外国人进行社交媒体等网络活动审查，要求所有签证申请人必须将其社交媒体账户设置为公开状态，并接受更深入的网络活动审查。新规将在发布后五个工作日内正式生效。此举引发教育界担忧，认为严格的审查程序可能异化为对国际学生政治立场的变相测试，影响美国教育的国际吸引力。</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标题：伊朗开始使用高超音速导弹，对冲突影响有多大？</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伊朗伊斯兰革命卫队于2025年6月18日凌晨宣布，在“真实承诺3”第11阶段行动中使用了“法塔赫-1”高超音速导弹打击以色列，声称这意味着以军防御终结的开始。导弹专家李文盛分析指出，伊朗需保证一定数量的持续发射并精确摧毁以色列高价值目标才能对冲突产生显著影响，但这对未掌握制空权的伊朗来说难度不小。美国《华尔街日报》报道，以色列正耗尽其“箭”式拦截弹库存，面临防御能力的“关键性崩溃”。中国外交部发言人郭嘉昆表示，中方对当前形势深感担忧，反对任何违反联合国宪章宗旨和原则的行为。</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标题：释新闻｜为何以色列需要美国帮助摧毁福尔多核设施？</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以色列国家安全顾问哈内格比表示，以色列针对伊朗的军事行动“除非摧毁福尔多核设施，否则不会结束”。以色列正在与美国保持持续沟通，但并未试图说服对方加入，这一行动计划完全由以色列自主制定，涵盖进攻行动的所有要素。福尔多核设施位于地下90米处，以色列的常规武器无法打击如此深度的目标。若要空袭摧毁该设施，需要美国的军事介入。美国有线电视新闻网17日援引两名知情人士的话报道，特朗普正越来越有意动用美国军事资产空袭伊朗核设施。福尔多核设施是伊朗的第二座铀浓缩设施，内部设有数千台铀浓缩离心机，目前由伊朗原子能组织运营。以色列指责伊朗在该设施中存放了接近武器级的浓缩铀。分析人士担忧，在以色列对伊朗核设施发动袭击后，伊朗可能会尝试将福尔多核设施储存的浓缩铀转化为核弹。</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标题：伊朗逮捕18名以色列特工</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摘要：伊朗警方在马什哈德逮捕了18名以色列特工，指控他们参与制造侦查和自杀式无人机。伊朗媒体称，这些特工都是外国人，在开展行动前被捕。</w:t>
      </w:r>
    </w:p>
    <w:p>
      <w:r>
        <w:br w:type="page"/>
      </w:r>
    </w:p>
    <w:p>
      <w:pPr>
        <w:jc w:val="center"/>
      </w:pPr>
      <w:r>
        <w:rPr>
          <w:rFonts w:ascii="微软雅黑" w:hAnsi="微软雅黑" w:eastAsia="微软雅黑"/>
          <w:b/>
          <w:sz w:val="22"/>
        </w:rPr>
        <w:t>三: 汽车类热点新闻</w:t>
      </w:r>
    </w:p>
    <w:p>
      <w:pPr>
        <w:spacing w:after="0"/>
      </w:pPr>
      <w:r>
        <w:rPr>
          <w:rFonts w:ascii="微软雅黑" w:hAnsi="微软雅黑" w:eastAsia="微软雅黑"/>
          <w:b/>
          <w:color w:val="000000"/>
          <w:sz w:val="18"/>
        </w:rPr>
        <w:t>标题：独家 | 沃尔沃或在中国启动大规模裁员</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沃尔沃近期在中国范围内开展大规模裁员，比例高达50%，涉及工程研发和供应链多岗位，具体名单预计本月底公布并完成所有操作。此次裁员距离沃尔沃全球宣布裁员3000人仅过去三周，是其总额高达180亿瑞典克朗（约合19亿美元）“成本与现金流优化行动计划”的关键组成部分。中国作为沃尔沃全球最大单一市场，正经历着最严重的衰退，2024年全年销量同比下降8%，创下近五年新低。2025年第一季度中国市场销量同比再降12%。沃尔沃的电动化战略摇摆不定，导致研发费用激增而收效甚微。</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标题：汽车消费补贴“断档”？</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汽车以旧换新政策自推行以来成效显著，截至5月31日带动销售额1.1万亿元，发放补贴约1.75亿份，其中汽车以旧换新补贴申请量达412万份。然而，自5月起，包括河南郑州、洛阳、许昌，新疆，沈阳等近十个地区先后暂停受理汽车置换补贴申请业务，主要原因包括补贴资金提前耗尽或政策调整。部分地区如广西、广东东莞、辽宁营口、辽宁沈阳、新疆、河南郑州、洛阳、许昌等已发布具体暂停时间和后续处理措施。重庆正在起草第二阶段以旧换新补贴政策，预计6月上旬出台。酒泉肃州区自5月10日起暂停所有以旧换新补贴活动。</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标题：奥迪已取消燃油车停售计划</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奥迪宣布取消原定2033年全面停止内燃机车型开发与销售的计划，并计划在2024年至2026年间推出一系列新的内燃机及插电式混合动力车型。此外，新闻还涉及日产Leaf升级版即将在美国上市、美国结束对日产汽车的调查、本田汽车在美国的召回、福特全球召回Mustang Mach-E、本田为停产车型供应原厂零部件、日产美国公司高管变动、俄罗斯乘用车销量预计下滑、Ram延长动力总成保修期、德州仪器扩大美国制造规模、Zoox自动驾驶出租车工厂启用、Waymo申请在纽约测试无人驾驶出租车、Wolfspeed可能达成破产协议、Roush为Kodiak Robotics改装无人驾驶卡车、加拿大计划重启电动汽车消费补贴、VinFast美国首家经销店开业、新日本制铁收购美国钢铁公司、马瑞利因关税冲击申请破产等内容。</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标题：特斯拉奥斯汀工厂停产计划：原因与影响</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摘要：特斯拉计划让美国得州奥斯汀工厂的Cybertruck和Model Y产线停产一周，这是其一年内至少第三次类似停工。停产计划从6月30日那周开始，次周恢复，期间员工可带薪休假或参加培训与清洁工作。公司称停产为产线维护，未详说哪些产线产能会提升。过去12个月里，这里至少已两次暂停生产。由于Cybertruck销量不佳，特斯拉一直在下调产量。特斯拉预计7月公布第二季度交付数据，其一季度交付量同比下降13%，Cybertruck累计交付量不足5万辆。</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标题：江铃否认“江铃福特将并入长安福特”</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江铃汽车通过其官方公众号发布声明，否认了“江铃福特将并入长安福特”的传闻。江铃汽车表示，作为上市公司，目前没有资产重组整合的相关计划，并强调与合资伙伴和经销商伙伴共同努力提升运营效率和协同作用。福特中国也回应称不对毫无根据的谣言和猜测发表评论。江铃与福特的合作始于1995年，2021年双方共同出资设立江铃福特合资公司，主要导入福特品牌的乘用车进行生产和销售。</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标题：舍弗勒与英伟达达成技术合作</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舍弗勒与英伟达建立技术合作伙伴关系，旨在推动舍弗勒生产流程的数字化转型，打造更高效敏捷的生产系统。通过英伟达Omniverse平台，舍弗勒将开发工厂和设备的数字孪生，利用AI技术模拟和优化生产流程及加工工艺，计划到2030年将全球50%以上的工厂接入Omniverse平台。</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标题：曝法拉利将第二款电动车型至少推迟至2028年</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法拉利因消费者对高性能豪华电动车需求不足，将第二款纯电动车型的推出时间从原定的2026年至少推迟至2028年。首款电动车计划于今年10月发布，最终于明年春季全球首发，首批客户交付预计在2026年10月。第二款电动车被视为法拉利电动化战略的“真正转折点”，但由于当前市场对高性能电动车的需求“几乎为零”，法拉利已两次推迟该计划。此外，多家跑车制造商也因市场遇冷调整了电动化战略。法拉利首款电动车由苹果前首席设计师Jony Ive参与设计，售价将超过50万美元，并将于10月9日向投资者公布新的长期商业计划。</w:t>
      </w:r>
    </w:p>
    <w:p>
      <w:pPr>
        <w:jc w:val="center"/>
      </w:pPr>
      <w:r>
        <w:rPr>
          <w:rFonts w:ascii="微软雅黑" w:hAnsi="微软雅黑" w:eastAsia="微软雅黑"/>
          <w:b/>
          <w:sz w:val="22"/>
        </w:rPr>
        <w:t>四: 疑似重复信息新闻</w:t>
      </w:r>
    </w:p>
    <w:p>
      <w:pPr>
        <w:spacing w:after="0"/>
      </w:pPr>
      <w:r>
        <w:rPr>
          <w:rFonts w:ascii="微软雅黑" w:hAnsi="微软雅黑" w:eastAsia="微软雅黑"/>
          <w:b/>
          <w:color w:val="000000"/>
          <w:sz w:val="18"/>
        </w:rPr>
        <w:t>标题：以伊互炸一周 美国动作频频</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以伊冲突已持续一周，局势不断升级，美方近日也动作频频。有消息称，特朗普政府已批准对伊朗攻击计划，可能在本周末进行。美国已转移中东基地可能受伊朗袭击的军事资产，并宣布撤离在以美国公民。特朗普对发动攻击成功确定性的怀疑是他权衡是否发动袭击的原因之一。美国国会参议院民主党领袖查克·舒默等表示，如果特朗普考虑发动战争，他应寻求国会的授权。</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标题：外交部：已有1600余名中国公民从伊朗安全撤离，数百名中国公民从以色列撤离</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6月19日，外交部发言人郭嘉昆在例行记者会上表示，在外交部和中国驻伊朗、以色列及周边有关国家使领馆的组织协调下，已有1600余名中国公民从伊朗安全撤离，数百名中国公民从以色列撤离。外交部及有关使领馆将继续全力以赴协助中国公民安全转移撤离。</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标题：国家禁毒办决定将尼秦类物质和12种新精神活性物质纳入管制</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国家禁毒办19日在京召开新闻发布会，决定将尼秦类物质和12种新精神活性物质纳入《非药用类麻醉药品和精神药品管制品种增补目录》，以加强监管和打击，严防滥用蔓延。这是继整类列管芬太尼类物质、合成大麻素类物质后在全球的又一次监管创新。国家禁毒办副主任单叶骅表示，新精神活性物质管控是全球共同挑战，中国愿与国际社会一道贡献中国方案、中国智慧。</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标题：一图｜以伊冲突已致超三千人死伤，时间线地图回看双方互袭过程</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6月18日，以伊冲突已持续6天，双方冲突不断扩围。据央视新闻6月18日报道，伊朗媒体援引卫生部消息人士报道称，以色列的袭击已导致伊朗境内585人死亡，另有1326人受伤。以色列媒体援引急救部门消息报道称，伊朗对以色列的袭击累计已造成24人死亡，超过1300人受伤。另据新华日报6月18日报道，以伊冲突造成双方逾238名平民死亡。伊朗伊斯兰革命卫队17日对以色列发动新一轮导弹和无人机袭击，伊朗武装部队总参谋长说即将对以色列实施“惩罚性行动”。以色列国防部长卡茨同日说，以空军当天将对德黑兰发起“重大”打击。美国总统特朗普正考虑一系列选项，包括加入以色列对伊朗的空袭，并在社交媒体上要求伊朗“无条件投降”。</w:t>
      </w:r>
    </w:p>
    <w:p>
      <w:pPr>
        <w:spacing w:after="0"/>
      </w:pPr>
      <w:r>
        <w:rPr>
          <w:rFonts w:ascii="微软雅黑" w:hAnsi="微软雅黑" w:eastAsia="微软雅黑"/>
          <w:b/>
          <w:color w:val="000000"/>
          <w:sz w:val="18"/>
        </w:rPr>
        <w:t>标题：2025年06月19日汽车相关企业股市情况</w:t>
      </w:r>
    </w:p>
    <w:p>
      <w:pPr>
        <w:spacing w:after="0"/>
      </w:pPr>
      <w:r>
        <w:rPr>
          <w:rFonts w:ascii="微软雅黑" w:hAnsi="微软雅黑" w:eastAsia="微软雅黑"/>
          <w:b/>
          <w:color w:val="000000"/>
          <w:sz w:val="18"/>
        </w:rPr>
        <w:t>来源：百度</w:t>
      </w:r>
    </w:p>
    <w:p>
      <w:pPr>
        <w:spacing w:after="0"/>
      </w:pPr>
      <w:r>
        <w:rPr>
          <w:rFonts w:ascii="微软雅黑" w:hAnsi="微软雅黑" w:eastAsia="微软雅黑"/>
          <w:sz w:val="18"/>
        </w:rPr>
        <w:t>摘要：见下图</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rPr>
        <w:rFonts w:ascii="微软雅黑" w:hAnsi="微软雅黑" w:eastAsia="微软雅黑"/>
        <w:sz w:val="18"/>
      </w:rPr>
      <w:t>第</w:t>
      <w:fldChar w:fldCharType="begin"/>
      <w:instrText xml:space="preserve">PAGE</w:instrText>
      <w:fldChar w:fldCharType="end"/>
    </w:r>
    <w:r>
      <w:rPr>
        <w:rFonts w:ascii="微软雅黑" w:hAnsi="微软雅黑" w:eastAsia="微软雅黑"/>
        <w:sz w:val="18"/>
      </w:rPr>
      <w:t>页 | 2025年06月19日</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rPr>
        <w:rFonts w:ascii="微软雅黑" w:hAnsi="微软雅黑" w:eastAsia="微软雅黑"/>
        <w:color w:val="000000"/>
        <w:sz w:val="18"/>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