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2025年07月08日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标题：制造强国建设取得新进展（奋勇争先，决战决胜“十四五”）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近年来，我国制造强国建设取得新进展，以先进制造业为骨干的现代化产业体系加快构建，新型工业化迈出坚实步伐。2024年，我国全部工业增加值增长至40.5万亿元，制造业总体规模连续15年保持世界第一。关键核心技术如北斗三号、28纳米光刻机等取得突破，高技术制造业增加值占比提升至15.7%。传统产业改造提升，战略性新兴产业与未来产业加速崛起，新能源汽车产销连续10年位居世界首位。智能制造和绿色转型成效显著，国家级智能制造示范工厂达421家，国家级绿色工厂6430家。工业和信息化部强调将继续推进传统产业转型升级，发展新兴产业，超前布局未来产业。</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标题：滚动更新丨WTI原油期货涨幅扩大至1%</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WTI原油期货涨幅扩大至1%，报67.82美元/桶。美股三大指数开盘小幅下跌，道指跌0.17%，纳指跌0.46%，标普500指数跌0.3%。科技七巨头多数下跌，特斯拉跌超6%，马斯克宣布成立“美国党”引发市场担忧。苹果跌0.5%，公司对欧盟开出的5亿欧元罚款提起上诉。中概股涨跌不一，阿里巴巴跌1.5%，公司和美团上演外卖大战。脑再生涨超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标题：今年美股IPO融资额同比增77%，美国IPO市场是否真正复苏？窗口期稍纵即逝？</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今年美股IPO融资额同比增77%，超过170家企业在纳斯达克或纽约证券交易所上市，累计融资金额超过110亿美元。有三家融资规模5000万美元以上的企业上市首个交易日股价翻了一倍多，创下2021年以来新高。然而，历史数据显示，上市首日股价翻番的企业中近90%的三年期持股回报率为负，平均跌幅高达46%。分析师警示，美股IPO市场能否持续复苏仍存疑问，特别是在贸易紧张局势和以伊冲突背景下。此外，特朗普政府的政策不确定性也可能阻碍一些企业选择美国作为上市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标题：马斯克再度高调介入美国政治，投资者感到“疲惫”</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斯拉CEO马斯克宣布成立新政党“美国党”，并批评特朗普力推的“大而美”税收和支出法案，引发投资者担忧。马斯克的政治介入导致特斯拉股价下跌，投资者担心特朗普政府的报复可能影响特斯拉的未来发展。韦德布什证券公司分析师艾夫斯表示，马斯克的政治活动让特斯拉投资者感到疲惫。特斯拉第二季度交付电动车38.4万辆，较去年同期下降13.5%，品牌认可度降至32%。</w:t>
      </w:r>
    </w:p>
    <w:p>
      <w:r>
        <w:br w:type="page"/>
      </w:r>
    </w:p>
    <w:p>
      <w:pPr>
        <w:jc w:val="center"/>
      </w:pPr>
      <w:r>
        <w:rPr>
          <w:rFonts w:ascii="微软雅黑" w:hAnsi="微软雅黑" w:eastAsia="微软雅黑"/>
          <w:b/>
          <w:sz w:val="22"/>
        </w:rPr>
        <w:t>三: 汽车类热点新闻</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标题：特朗普威胁对金砖国家加征10%新关税，外交部回应：贸易战、关税战没有赢家</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威胁对金砖国家加征10%新关税，并计划于8月1日生效。中国外交部发言人毛宁回应称，贸易战、关税战没有赢家，保护主义没有出路，金砖机制倡导开放包容、合作共赢，不搞阵营对抗。特朗普政府计划通过信函或协议形式通知相关关税措施，涉及多个经济体，包括欧盟、日本、韩国等。美国国际贸易法院此前裁定特朗普政府利用《国际紧急经济权力法》征收关税的行为越权。</w:t>
      </w:r>
    </w:p>
    <w:p>
      <w:pPr>
        <w:spacing w:after="0"/>
      </w:pPr>
      <w:r>
        <w:rPr>
          <w:rFonts w:ascii="微软雅黑" w:hAnsi="微软雅黑" w:eastAsia="微软雅黑"/>
          <w:b/>
          <w:color w:val="000000"/>
          <w:sz w:val="18"/>
        </w:rPr>
        <w:t>标题：2025年07月08日汽车相关企业股市情况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