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2025年07月09日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标题：不惧关税扰动！MSCI全球指数创新高，印度缘何表现惨淡？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尽管美国总统特朗普的贸易政策反复无常、扰动全球市场，但全球股市今年仍表现强劲。截至7月4日，MSCI全球指数上涨了约10%，创历史高位。欧洲股市成为2025年的“意外之星”，希腊、波兰、捷克共和国、匈牙利股指今年迄今的涨幅，居全球前四。亚太股指则喜忧参半，韩国股指在亚太股指中排名第一，在全球股指中也排名第八，今年迄今涨逾30%。而泰国和印度尼西亚股指在全球排名中垫底，分别位列最后一名和倒数第三名，跌幅分别为13.56%和4.74%。印度股市年内涨幅仅为5.75%，位列倒数第八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标题：特朗普拟对铜加征50%关税？美铜期货创1968年来最大单日涨幅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摘要：特朗普政府计划对进口铜征收高达50%的关税，导致美国铜价迅速飙升，COMEX 7月交割的近月铜期货价格上涨66.05美分/磅，涨幅13.25%，至每磅5.6450美元，创下1968年以来的最大单日涨幅，年内累计涨幅超36%。美国商务部长卢特尼克表示，相关关税或将在7月底或8月1日前生效。此举旨在将铜生产带回美国。智利、加拿大和墨西哥作为美国精炼铜及铜制品的三大进口来源国，可能受到最大冲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标题：西欧迎有记录以来最热6月！欧盟气候机构：两次显著热浪均与热穹顶相关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欧盟气候监测机构哥白尼气候变化服务局发布数据显示，2025年6月是全球有记录以来“第三热”的6月，平均地表气温为16.46摄氏度，比1991年-2020年期间的6月平均气温均值高0.47摄氏度。西欧整体经历了有记录以来最热的6月，平均气温为20.49摄氏度，比1991-2020年平均值高出2.81摄氏度。欧洲大陆在6月中旬和6月下旬至7月初经历了两次显著的热浪，两次热浪均与持续的高压系统“热穹顶”有关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标题：特朗普将赴得州视察洪水灾情，当地洪水预警系统被质疑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计划于本周五前往得克萨斯州视察洪水灾情，该州因特大洪水已造成至少110人死亡、160多人失踪。洪水被认为是美国过去五十年来最致命的洪灾之一。当地洪水预警系统被质疑，克尔县前委员莫泽曾提议升级系统但未被实施。得州州长阿博特表示已为暴风雨做准备，但克尔县官员称洪水来得措手不及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标题：2025年07月09日汽车相关企业股市情况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2025年07月09日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