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微软雅黑" w:hAnsi="微软雅黑" w:eastAsia="微软雅黑"/>
          <w:b/>
          <w:sz w:val="22"/>
        </w:rPr>
        <w:t>2025年07月14日 新闻早报</w:t>
      </w:r>
    </w:p>
    <w:p>
      <w:pPr>
        <w:jc w:val="center"/>
      </w:pPr>
      <w:r>
        <w:rPr>
          <w:rFonts w:ascii="微软雅黑" w:hAnsi="微软雅黑" w:eastAsia="微软雅黑"/>
          <w:b/>
          <w:sz w:val="22"/>
        </w:rPr>
        <w:t>一: 综合热点新闻(国内)</w:t>
      </w:r>
    </w:p>
    <w:p>
      <w:pPr>
        <w:spacing w:after="0"/>
      </w:pPr>
      <w:r>
        <w:rPr>
          <w:rFonts w:ascii="微软雅黑" w:hAnsi="微软雅黑" w:eastAsia="微软雅黑"/>
          <w:b/>
          <w:color w:val="000000"/>
          <w:sz w:val="18"/>
        </w:rPr>
        <w:t>标题：走出一条中国特色城市发展道路</w:t>
      </w:r>
    </w:p>
    <w:p>
      <w:pPr>
        <w:spacing w:after="0"/>
      </w:pPr>
      <w:r>
        <w:rPr>
          <w:rFonts w:ascii="微软雅黑" w:hAnsi="微软雅黑" w:eastAsia="微软雅黑"/>
          <w:b/>
          <w:color w:val="000000"/>
          <w:sz w:val="18"/>
        </w:rPr>
        <w:t>来源：人民日报</w:t>
      </w:r>
    </w:p>
    <w:p>
      <w:pPr>
        <w:spacing w:after="0"/>
      </w:pPr>
      <w:r>
        <w:rPr>
          <w:rFonts w:ascii="微软雅黑" w:hAnsi="微软雅黑" w:eastAsia="微软雅黑"/>
          <w:sz w:val="18"/>
        </w:rPr>
        <w:t>摘要：中国在党的十八大以来，以习近平同志为核心的党中央高度重视城市工作，提出了一系列新思想新观点新论断，走出了一条中国特色城市发展道路。2015年12月20日，中央城市工作会议在北京召开，提出了“五个统筹”的城市工作基本思路。2017年4月，中共中央、国务院决定设立河北雄安新区，旨在打造一个没有‘城市病’的未来之城。中国常住人口城镇化率从2012年的53.1%提高到2024年的67%，2013年到2024年累计实现城镇新增就业超过1.5亿人。党的二十大报告提出，城市是现代化的重要载体，中国式现代化是人口规模巨大的现代化。2023年11月29日，习近平总书记在上海考察期间，强调要践行人民城市理念，确保外来人口进得来、留得下、住得安、能成业。中国不断健全推进新型城镇化体制机制，深化户籍制度改革，放开放宽除个别超大城市外的落户限制，2014年以来超1.5亿农业转移人口平稳有序进城落户。区域协调发展是中国式现代化的重要支撑，习近平总书记强调要围绕推动京津冀协同发展走深走实，深入推进区域一体化和京津同城化发展体制机制创新。城市管理应该像绣花一样精细，推进城市高质量发展，破解“大城市病”困扰。</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标题：国家国际发展合作署</w:t>
      </w:r>
    </w:p>
    <w:p>
      <w:pPr>
        <w:spacing w:after="0"/>
      </w:pPr>
      <w:r>
        <w:rPr>
          <w:rFonts w:ascii="微软雅黑" w:hAnsi="微软雅黑" w:eastAsia="微软雅黑"/>
          <w:b/>
          <w:color w:val="000000"/>
          <w:sz w:val="18"/>
        </w:rPr>
        <w:t>来源：人民日报</w:t>
      </w:r>
    </w:p>
    <w:p>
      <w:pPr>
        <w:spacing w:after="0"/>
      </w:pPr>
      <w:r>
        <w:rPr>
          <w:rFonts w:ascii="微软雅黑" w:hAnsi="微软雅黑" w:eastAsia="微软雅黑"/>
          <w:sz w:val="18"/>
        </w:rPr>
        <w:t>摘要：国家国际发展合作署报道了多位中国领导人包括习近平、李强和王毅与多国领导人及官员的会晤和会谈，涉及巴基斯坦、新加坡、哈萨克斯坦、白俄罗斯、柬埔寨、埃塞俄比亚、孟加拉国、塞内加尔、埃及等国家。习近平向全球文明对话部长级会议致贺信，强调文明交流互鉴的重要性。国家国际发展合作署与埃及、联合国人口基金等签署合作文件，并举行了2025年第二季度例行记者会。中国政府继续向缅甸提供紧急人道主义地震救灾援助，并与联合国世界粮食计划署合作，为在孟避难民众提供粮食援助。</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标题：中国互联网联合辟谣平台</w:t>
      </w:r>
    </w:p>
    <w:p>
      <w:pPr>
        <w:spacing w:after="0"/>
      </w:pPr>
      <w:r>
        <w:rPr>
          <w:rFonts w:ascii="微软雅黑" w:hAnsi="微软雅黑" w:eastAsia="微软雅黑"/>
          <w:b/>
          <w:color w:val="000000"/>
          <w:sz w:val="18"/>
        </w:rPr>
        <w:t>来源：人民日报</w:t>
      </w:r>
    </w:p>
    <w:p>
      <w:pPr>
        <w:spacing w:after="0"/>
      </w:pPr>
      <w:r>
        <w:rPr>
          <w:rFonts w:ascii="微软雅黑" w:hAnsi="微软雅黑" w:eastAsia="微软雅黑"/>
          <w:sz w:val="18"/>
        </w:rPr>
        <w:t>摘要：中国互联网联合辟谣平台发布了《利用AI生成类谣言辟谣典型案例》和2025年6月辟谣榜，同时举办了2025年中国网络文明大会网络辟谣论坛。《今日辟谣榜》荣获“2025年网络文明建设优秀案例”。平台还发布了《经济金融领域年度网络辟谣榜》和《利用AI生成类谣言辟谣典型案例》，并开展了“清朗·整治AI技术滥用”专项行动第一阶段工作。6月全国受理网络违法和不良信息举报1849.6万件，国家网信办公开曝光了整治涉企网络“黑嘴”的情况。此外，平台还发布了《网信部门行政处罚裁量权基准适用规定》，并开展了军队文职人员考试培训专项整治。</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标题：经济随笔丨“十四五”回答了哪些重大问题？</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7月9日，国新办举行‘高质量完成“十四五”规划’系列主题新闻发布会的首场，国家发展改革委用‘风雨兼程见彩虹’概括了‘十四五’规划的五年历程。‘十四五’期间，中国在外部环境变乱交织的背景下，通过坚定发展和统筹安全，实现了前四年平均增速5.5%，相当于再造一个长三角的成就。规划将创新提到前所未有的重要位置，实现了多个‘第一’的突破，并强调高质量发展。同时，‘十四五’规划紧密关注民生，推动基础设施建设和绿色生活方式，体现了‘以人民为中心’的发展理念。</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标题：焦点访谈丨“一喷三防”、水肥一体化滴灌 我国夏粮产区抗旱有妙招</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国家统计局数据显示，2025年全国夏粮总产量2994.8亿斤，是历史第二高产年。面对干旱、高温等不利天气，山西洪洞县等地通过“一喷三防”和水肥一体化滴灌技术有效应对，实现了夏粮稳产丰收。其中，“一喷三防”技术通过喷洒杀虫杀菌剂、叶面肥和植物生长调节剂，防治小麦穗期病虫、防止小麦早衰、防范干热风，山西省财政安排了专项资金支持。水肥一体化滴灌技术在全国推广面积已超过1.7亿亩，显著提高了产量和品质。</w:t>
      </w:r>
    </w:p>
    <w:p>
      <w:r>
        <w:br w:type="page"/>
      </w:r>
    </w:p>
    <w:p>
      <w:pPr>
        <w:jc w:val="center"/>
      </w:pPr>
      <w:r>
        <w:rPr>
          <w:rFonts w:ascii="微软雅黑" w:hAnsi="微软雅黑" w:eastAsia="微软雅黑"/>
          <w:b/>
          <w:sz w:val="22"/>
        </w:rPr>
        <w:t>二: 综合热点新闻(国际)</w:t>
      </w:r>
    </w:p>
    <w:p>
      <w:pPr>
        <w:spacing w:after="0"/>
      </w:pPr>
      <w:r>
        <w:rPr>
          <w:rFonts w:ascii="微软雅黑" w:hAnsi="微软雅黑" w:eastAsia="微软雅黑"/>
          <w:b/>
          <w:color w:val="000000"/>
          <w:sz w:val="18"/>
        </w:rPr>
        <w:t>标题：本周外盘看点丨美国CPI能否影响降息，美股财报季来袭</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上周国际市场风云变幻，美国总统特朗普宣布对一系列贸易伙伴的对等关税决定，美股全线下挫。本周看点包括美国通胀数据可能决定7月美联储降息前景，美联储将公布经济状况褐皮书，美股新财报季将开始。此外，英国、加拿大和日本的CPI数据也将成为各自央行政策走向的重要参考。国际油价企稳反弹，国际金价因投资者涌向避险资产而企稳反弹。欧盟将推进贸易谈判，英国央行在半年度金融稳定报告中表示，由于特朗普关税等原因，英国未来一年的增长前景有点疲软。</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标题：从能矿到绿色经济、金融服务与旅游业，中国与澳大利亚有哪些经贸合作新看点？</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澳大利亚总理阿尔巴尼斯于7月12日至18日对中国进行正式访问，这是他在今年5月成功连任后的首次访华。访问期间，阿尔巴尼斯将到访上海、北京、成都三地，旨在加强中澳经贸关系，特别是在能矿产品、绿色经济、金融服务与旅游业等领域的合作。2023年，中澳双边贸易额高达2292亿美元，占澳大利亚外贸总额的28%。中国连续15年是澳大利亚的最大贸易伙伴。此次访问正值中澳自贸协定实施十周年，双方将评估协定以加强传统领域合作并探索新兴领域增长空间。</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标题：王毅会见俄罗斯外长拉夫罗夫</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2025年7月13日，中共中央政治局委员、外交部长王毅在北京会见俄罗斯外长拉夫罗夫。王毅表示中俄关系是当今世界最稳定、最成熟、最富有战略价值的一组大国关系，双方将共同筹备好下阶段高层交往，深化全面战略协作。此外，双方还就上合组织天津峰会的筹备工作、二战胜利80周年纪念活动及朝鲜半岛、乌克兰危机、伊朗核等问题交换了意见。</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标题：朝鲜谴责美日韩空中联合演习，强调实施反制是朝方正当权利</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朝鲜国防省政策室长于2025年7月13日发表谈话，谴责美日韩在朝鲜半岛周边进行的空中联合演习，特别是7月11日动员包括B-52H战略轰炸机在内的联合训练。朝方认为这是加剧地区军事紧张的主要危险因素，并表示将采取反制措施作为正当权利。朝方还指出，美国及其盟国的军事行动已对朝鲜国家安全环境构成威胁，并强调朝鲜武装力量已准备好应对任何侵略行为。</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标题：伊朗外长：有意恢复与美国的核谈，后者应保证不再发动袭击</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伊朗外交部长阿拉格齐12日表示，伊朗有意恢复与美国的核谈判，但要求美国保证不再发动袭击。他谴责美国转向军事手段是对外交的背弃，并强调伊朗不惧怕谈判，前提是伊朗人民的利益和福祉得到保护。今年6月，美国对伊朗核设施发动袭击后，伊朗暂停了与国际原子能机构的合作。伊朗和美国自4月12日以来已进行五轮核谈判，双方在伊朗核计划上存在严重分歧。</w:t>
      </w:r>
    </w:p>
    <w:p>
      <w:r>
        <w:br w:type="page"/>
      </w:r>
    </w:p>
    <w:p>
      <w:pPr>
        <w:jc w:val="center"/>
      </w:pPr>
      <w:r>
        <w:rPr>
          <w:rFonts w:ascii="微软雅黑" w:hAnsi="微软雅黑" w:eastAsia="微软雅黑"/>
          <w:b/>
          <w:sz w:val="22"/>
        </w:rPr>
        <w:t>三: 汽车类热点新闻</w:t>
      </w:r>
    </w:p>
    <w:p>
      <w:pPr>
        <w:spacing w:after="0"/>
      </w:pPr>
      <w:r>
        <w:rPr>
          <w:rFonts w:ascii="微软雅黑" w:hAnsi="微软雅黑" w:eastAsia="微软雅黑"/>
          <w:b/>
          <w:color w:val="000000"/>
          <w:sz w:val="18"/>
        </w:rPr>
        <w:t>标题：全球视野·中国声音</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新闻内容涵盖了全球汽车行业的多方面动态，包括宝马集团H1全球汽车总销量、广汽与华为深化合作、恒大汽车南沙区土地将被收回、比亚迪泰国工厂投产周年、中国车企加速布局欧洲市场等。此外，还涉及了智能驾驶、汽车芯片、电池技术、汽车出口、关税政策等行业热点。具体事件包括时驾科技A轮融资、零跑全新C11上市、伟巴斯特暂停工厂运营、理想i8将开启预订、采埃孚CFO表示将更严厉降本等。</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标题：中高阶智能驾驶拐点已到</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地平线总裁陈黎明在2025中国汽车论坛上表示，中高阶智能驾驶已迎来拐点，预计将快速增长。智能驾驶是国家智能网联新能源汽车发展的重要部分，政府工作报告和工信部对此有明确规划和行动方向。行业推动下，城区NOA/高速NOA技术从高端车向下普及，今年一季度主机厂的智驾平权进一步推动了技术发展和成本降低。中国终端客户在选择电动车和高端车时，智能化成为重要考虑因素。地平线与大众汽车集团在高阶智能驾驶领域的合作已取得进展，合资公司酷睿程已有超过500名智驾工程师，基于地平线征程6打造的L2+级别智能驾驶方案将于2026年面市。地平线HSD搭载征程6P，提供极致拟人体验和沉浸式HMI。</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标题：比亚迪泰国工厂投产周年</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比亚迪位于泰国罗勇府的工厂迎来投产一周年，并交付了泰国第9万辆新能源汽车。比亚迪进入泰国三年间，在多个方面表现出色，包括提供高品质的产品与服务，积极承担社会责任。泰国工厂一年内吸纳超6100名泰籍员工，本地化比例达90%，促进了当地就业和中泰文化的交流。交付的第9万辆车为腾势D9，交付对象是泰国足协主席。首辆泰国产的比亚迪驱逐舰05也正式下线，丰富了比亚迪在泰国的产品线。驱逐舰05作为泰国首款插电混动车型，满足当地消费者不同的出行需求。比亚迪泰国罗勇工厂是全球重要生产基地，年产能达15万辆，推动供应链本地化整合，并计划引入更多产品。</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标题：VinFast计划2030年前年产百万辆电动车</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越南电动汽车制造商VinFast计划在2030年前将电动汽车年产量提升至100万辆。该公司当前产能为每年25万辆，计划2027年生产50万辆电动汽车。VinFast在越南海防市的工厂年产能可扩展至95万辆，河静省的工厂计划今年晚些时候投产，初期年产能30万辆，未来可翻倍至60万辆。首座海外工厂定于今年7月在印度投产，预计年产能15万辆，印度尼西亚苏邦的工厂计划今年晚些时候开始量产，初期年产能5万辆。2024年，VinFast销量达97,399辆，同比增长192%。公司计划2026年前将本地零部件占比提升至80%，并为供应商提供土地租赁补贴。VinFast一季度净亏损达7.124亿美元，母公司Vingroup创始人已自掏8.254亿美元注资支持。公司重心转向亚洲，目标2026年实现盈亏平衡。</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标题：美国将加快自动驾驶汽车审批流程</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美国特朗普政府正采取措施简化汽车制造商部署无驾驶控制装置的自动驾驶汽车的流程，美国国家公路交通安全管理局（NHTSA）将简化豁免流程，预计可在数月内而非数年内对多数豁免申请做出审批决定。这一举措对特斯拉及其竞争对手在美国道路推出完全自动驾驶出租车带来利好，特斯拉股价因此上涨1.5%。特斯拉计划明年量产专用车型Cybercab，加入其运营车队。马斯克曾向特朗普的竞选活动捐赠超过2.5亿美元资金，并呼吁为自动驾驶汽车建立联邦审批流程。</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标题：万钢建议拓展燃料电池汽车政策支持方向</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在2025中国汽车论坛上，中国科学技术协会主席万钢提出拓展燃料电池汽车政策支持方向的建议。他强调政策支持需在延续性、精准性和场景适配性上加强，建议在规模化推广、典型场景应用和基础设施建设等方面给予支持，如推动氢能高速建设和构建所能走廊，以促进燃料电池汽车的全面发展。</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标题：华为智能驾驶规划曝光，加速追赶特斯拉</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华为智能驾驶解决方案产品线总裁李文广在2025中国汽车论坛上详细阐述了华为在智能辅助驾驶领域的规划。华为计划今年聚焦于L3的试点商用和L4的测试工作，明年推进L3的规模商用，2027年实现L4的规模商用，2028年达成无人干线物流目标。华为表示，若能在2027年实现目标，相较于特斯拉已落后一年，展现了华为在智能辅助驾驶领域的决心和紧迫感。</w:t>
      </w:r>
    </w:p>
    <w:p>
      <w:pPr>
        <w:jc w:val="center"/>
      </w:pPr>
      <w:r>
        <w:rPr>
          <w:rFonts w:ascii="微软雅黑" w:hAnsi="微软雅黑" w:eastAsia="微软雅黑"/>
          <w:b/>
          <w:sz w:val="22"/>
        </w:rPr>
        <w:t>四: 疑似重复信息新闻</w:t>
      </w:r>
    </w:p>
    <w:p>
      <w:pPr>
        <w:spacing w:after="0"/>
      </w:pPr>
      <w:r>
        <w:rPr>
          <w:rFonts w:ascii="微软雅黑" w:hAnsi="微软雅黑" w:eastAsia="微软雅黑"/>
          <w:b/>
          <w:color w:val="000000"/>
          <w:sz w:val="18"/>
        </w:rPr>
        <w:t>标题：美威胁对加墨分别征收35%和30%关税，如何影响美墨加产业链？｜特朗普关税风云第二季</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美国总统特朗普宣布，将自8月1日起对从墨西哥和加拿大进口的商品分别征收30%和35%的关税，理由是两国在遏制北美地区毒品走私和芬太尼管控方面成效不足。专家认为，此次加征关税措施应当不影响符合美墨加协定（USMCA）规则的产品，因此实际影响范围相对有限。特朗普还警告两国不要对此次加税进行报复，并鼓励对方企业迁入美国。加拿大和墨西哥对此表示不满，但更倾向于通过谈判寻求妥协。</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标题：加快建设全国统一大市场一线观察：推进区域协作 拓宽发展空间</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摘要：新华社北京7月13日电，题为《推进区域协作 拓宽发展空间——加快建设全国统一大市场一线观察之七》的报道指出，加快建设全国统一大市场，推进区域市场一体化是必然路径。报道中提到，《中共中央 国务院关于加快建设全国统一大市场的意见》鼓励京津冀、长三角、粤港澳大湾区等区域优先开展区域市场一体化建设工作。通过打破行政区划壁垒、加强市场基础制度统一、深化对内对外开放，区域市场一体化加速推进。报道还列举了多个区域协作的实例，如川渝高竹新区探索货车牌照“同标互认”，长三角推行电子营业执照共享互认等，展示了区域市场一体化建设的新亮点和潜力。此外，报道还强调了基础设施的顺畅联通对区域市场一体化的重要性，并提供了2024年京津冀、长三角、成渝地区双城经济圈的经济总量数据，展示了区域市场一体化对经济发展的积极影响。</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标题：财晓得｜特朗普给多国群发关税信施压，这次影响有多大</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摘要：美国总统特朗普于当地时间7月7日向包括日韩在内的14个国家发出信函，威胁从8月1日起对这些国家加征至少25%的关税。两天后，第二波征税函紧随而至。此举引发了国际社会的广泛关注和讨论。</w:t>
      </w:r>
    </w:p>
    <w:p>
      <w:pPr>
        <w:spacing w:after="0"/>
      </w:pPr>
      <w:r>
        <w:rPr>
          <w:rFonts w:ascii="微软雅黑" w:hAnsi="微软雅黑" w:eastAsia="微软雅黑"/>
          <w:b/>
          <w:color w:val="000000"/>
          <w:sz w:val="18"/>
        </w:rPr>
        <w:t>标题：2025年07月14日汽车相关企业股市情况</w:t>
      </w:r>
    </w:p>
    <w:p>
      <w:pPr>
        <w:spacing w:after="0"/>
      </w:pPr>
      <w:r>
        <w:rPr>
          <w:rFonts w:ascii="微软雅黑" w:hAnsi="微软雅黑" w:eastAsia="微软雅黑"/>
          <w:b/>
          <w:color w:val="000000"/>
          <w:sz w:val="18"/>
        </w:rPr>
        <w:t>来源：百度</w:t>
      </w:r>
    </w:p>
    <w:p>
      <w:pPr>
        <w:spacing w:after="0"/>
      </w:pPr>
      <w:r>
        <w:rPr>
          <w:rFonts w:ascii="微软雅黑" w:hAnsi="微软雅黑" w:eastAsia="微软雅黑"/>
          <w:sz w:val="18"/>
        </w:rPr>
        <w:t>摘要：见下图</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rPr>
        <w:rFonts w:ascii="微软雅黑" w:hAnsi="微软雅黑" w:eastAsia="微软雅黑"/>
        <w:sz w:val="18"/>
      </w:rPr>
      <w:t>第</w:t>
      <w:fldChar w:fldCharType="begin"/>
      <w:instrText xml:space="preserve">PAGE</w:instrText>
      <w:fldChar w:fldCharType="end"/>
    </w:r>
    <w:r>
      <w:rPr>
        <w:rFonts w:ascii="微软雅黑" w:hAnsi="微软雅黑" w:eastAsia="微软雅黑"/>
        <w:sz w:val="18"/>
      </w:rPr>
      <w:t>页 | 2025年07月14日</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rPr>
        <w:rFonts w:ascii="微软雅黑" w:hAnsi="微软雅黑" w:eastAsia="微软雅黑"/>
        <w:color w:val="000000"/>
        <w:sz w:val="18"/>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