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2025年07月19日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标题：无法获取标题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摘要：无法获取具体新闻内容，原文内容不完整且难以理解。</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标题：逆势显韧性，中国外贸何以稳中有进</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外贸在今年上半年展现出韧性，进出口规模创历史同期新高，同比增速加快至2.9%。通过优化产品迭代、政策赋能和多元化市场布局，中国外贸企业如苏州穿山甲机器人股份有限公司和厦门太古飞机工程有限公司等，成功应对了外部环境的挑战。政策支持包括简化通关流程、设立外贸优品专区专柜等，以及通过参加国际展会和使用数字支付平台如“义支付”来拓展市场。中国与世界的经贸链接日益紧密，展望未来，中国将继续加强国际合作，增强贸易韧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标题：上半年纪检监察机关处分42万人 含30名省部级干部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央纪委国家监委通报2025年上半年全国纪检监察机关监督检查、审查调查情况。2025年上半年，全国纪检监察机关共立案52.1万件，处分42万人，其中包括省部级干部30人。接收信访举报190.6万件次，处置问题线索120.6万件。运用“四种形态”批评教育和处理84.3万人次，坚持受贿行贿一起查，立案行贿人员1.6万人，移送检察机关1990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标题：改革为人民｜千年天堑变通途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摘要：改革为人民｜千年天堑变通途</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标题：“两重”投资催生产业新机遇 打开增长新空间 | 上半年经济运行新趋势、新变化观察</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摘要：文章探讨了上半年经济运行中的新趋势和新变化，特别是‘两重’投资如何催生产业新机遇并打开增长新空间。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标题：从上半年成绩单看中国经济增长点</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摘要：从上半年成绩单看中国经济增长点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标题：上半年规模以上工业增加值同比增长6.4% 工业经济向稳向新向优发展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上半年规模以上工业增加值同比增长6.4%，工业经济向稳向新向优发展。制造业增加值占GDP比重25.7%，基本保持稳定。重点行业如电气机械、汽车、电子等增长较快，装备制造业和高技术制造业量质齐升。工业机器人产量同比增长35.6%，科技创新和产业创新融合发展加速。数字化转型加速推进，5G融合应用融入国民经济97个大类中的86个，建设超过1.85万个“5G+工业互联网”项目。工业和信息化部将继续在巩固基础、提升质量、培育动能、优化环境等方面持续发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标题：官方部署专项行动，打击战略矿产走私出口</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出口管制工作协调机制办公室于2025年7月19日在广西南宁召开打击战略矿产走私出口专项行动推进会，总结前期成效并部署下一步工作。会议指出，专项行动已侦办一批非法出口案件，抓获一批犯罪嫌疑人，但形势依然严峻。会议要求加大执法力度，建立联合执法协调中心，从严从快查办案件，防止战略矿产非法外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标题：新华社经济随笔：从库克到黄仁勋，缘何一年三度来华？</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英伟达公司总裁兼首席执行官黄仁勋和苹果首席执行官库克一年内三次来华，表达对中国市场的重视和合作共赢的意愿。黄仁勋今年1月、4月和7月分别在中国多地参加活动，强调中国市场的活力和创新力。库克去年也三次来华，参加链博会并称赞中国的“技能密度”。两位企业家的行为表明，尽管存在“脱钩断链”的行政命令，但市场规律和技术发展的逻辑无法被改写。中国市场的规模、应用场景和创新活力吸引了众多跨国企业，如英伟达在中国市场的销售额占全球约四分之一，最新财季中国市场占其总营收的12.53%。外资企业如阿斯利康、巴斯夫和瓦克化学等也在中国加大投资。中国通过缩减外资准入负面清单、深化国家级经开区改革创新等措施，持续扩大开放，吸引外资。</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标题：无法获取标题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周五涨跌互现，道指跌0.32%，纳指涨0.05%，标普500指数跌0.01%。本周道指下跌0.07%，纳指周涨1.51%，标普500指数周涨0.59%。美国总统特朗普可能推动与欧盟协议中最低关税设在15%-20%。密歇根大学7月消费者信心指数初值从上月的60.7上升至61.8。奈飞第二季度营收同比增长17.3%，但股价跌5.2%。纳斯达克中国金龙指数涨0.6%，京东、阿里巴巴等中概股上涨。国际油价和金价小幅波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标题：新加坡媒体将网络攻击事件与中国相联系，我使馆：强烈不满</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摘要：新加坡媒体在报道网络攻击事件时，将攻击组织UNC3886与中国相联系，中国驻新加坡大使馆对此表示强烈不满，并重申中国反对任何形式的网络攻击，愿意与包括新加坡在内的各方合作维护网络空间安全。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标题：观察｜美航母数量将减至10艘，未来还可能面对更尴尬的情况</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海军现役航母数量将在未来一年左右的时间里缩减至10艘，主要原因是“约翰·肯尼迪”号航母交付延迟和“尼米兹”号航母计划于明年5月退役。此外，“福特”级航母建造进度拖延和技术问题频出，导致美国海军面临航母“青黄不接”的情况。美国海军计划在未来30年内采购6艘“福特”级航母，但造船业衰弱、设计变更频繁以及未成熟技术的采用等问题，使得航母的建造和维护工作面临严重延误。这些因素共同影响了美国海军的航母部署和战斗力，可能导致未来几年内航母数量降至10艘甚至9艘。</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标题：全球视野·中国声音</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摘要：新闻涵盖了多个汽车行业的最新动态，包括法拉第未来FX首款纯电动MPV的发布、理想i8和小米YU7的市场表现、比亚迪和奇瑞在欧洲销量的增长、人形机器人的发展机遇与挑战、吉利上半年销量的增长、Model Y L的即将上市、日本对美汽车出口的增长、Uber与Lucid和Nuro的合作、本田投资芯片制造商、加拿大坚持零排放政策、2025年智能辅助驾驶大会和汽车芯片产业大会的预告、极氪告别纽交所回归吉利、NHTSA敦促沃尔沃车主完成制动召回更新、福特将从2027年开始在欧洲推出新款车型、智驾大陆再获国内某头部主机厂项目定点、杨汉兵关于滑板底盘重塑产业价值的观点、高通赋能汽车智能进入“普惠”时代的愿景、Vector成为软件定义汽车领域头号供应商的目标、时驾科技和星动纪元的融资情况、6.16-6.29汽车行业热点投资事件、超豪华车消费税门槛下调至90万元、哪吒汽车母公司可能“重生”、中国汽车品牌在欧洲市占率创新高、Uber与Lucid和Nuro合作推出自动驾驶出租车、动力电池的百年进化、最严AEB新规倒计时、中国乘用车出口数据库的发布、吉利汽车与极氪的合并协议、中国研究人员提升全固态离子选择电极性能的新策略、宝马集团与Momenta共研中国专属智能驾驶辅助系统、美国电动车补贴进入倒计时、人工智能雷达技术用于高分辨率3D城市制图、欧洲大学合成新型材料用于汽车仪表盘等领域、座舱车载声学装机量分析、小鹏G7的试驾体验、6月经销商库存预警指数为56.6%以及上半年仅有27.5%的经销商完成销量目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标题：消费税起征点90万元，超豪华车市场迎变革</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财政部、税务总局于7月17日发布《关于调整超豪华小汽车消费税政策的公告》，将超豪华小汽车消费税起征点从130万元（不含增值税）下调至90万元（不含增值税），新政策自7月20日起执行。此举意味着售价在90万元-130万元之间的新车购车成本将大幅增加，直接影响奔驰、路虎、保时捷等品牌的部分车型。同时，新政规定二手超豪华小汽车不征收消费税，预计将促进二手车市场活跃。2024年二手车交易量及新能源二手车交易量均有显著增长。政策调整旨在推动产业升级和引导合理消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标题：极氪告别纽交所回归吉利</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7月15日，吉利汽车与极氪智能科技正式签署合并协议，极氪从纽交所退市并成为吉利汽车全资子公司。这场耗时近两年的资本整合，标志着中国新能源汽车产业深度整合进入实质阶段。合并涉及股权结构调整、治理体系优化，吉利通过现金与股权置换相结合的方式实现100%控股极氪，总估值约172亿元人民币。合并后，吉利乘用车板块完成架构重构，形成“吉利汽车集团”和“极氪科技集团”两大板块，覆盖10万-80万元价格带的全维度产品矩阵。此外，吉利推进技术资源与供应链的集中化管理，研发和供应链成本显著降低。2024年9月发布的《台州宣言》是此次整合的核心，强调战略聚焦、技术协同和全球化突围。合并已在创新效率、盈利水平与组织韧性层面显现出积极信号，但也面临品牌定位平衡、组织文化融合与盈利模式创新等挑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标题：中国新能源汽车产业的协同进化之路</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新能源汽车产业在多地蓬勃发展，智能化、绿色化和网联化正重塑产业格局并推动制造业系统性升级。重庆和安徽作为产业升级的代表，长安汽车的5G数智化工厂和江淮汽车与华为合作的超级工厂展现了高效的生产场景。技术创新得到人才和资本的支持，重庆通过产教融合解决人才缺口，安徽完善新能源汽车产业金融生态。技术、人才和资本三股力量交汇，推动产业跃迁，中国新能源汽车产业正在构建起协同进化机制。</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标题：2025年07月19日汽车相关企业股市情况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2025年07月19日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