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22"/>
        </w:rPr>
        <w:t>2025年08月07日 新闻早报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一: 综合热点新闻(国内)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标题：以新发展理念为指引  加快构建新发展格局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来源：人民日报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习近平总书记强调完整准确全面贯彻新发展理念，加快构建新发展格局，指出我国经济展现强大活力和韧性，同时面临风险挑战。上半年中国经济表现良好，GDP同比增长5.3%，外贸进出口规模创历史同期新高，高技术产业增加值同比增长9.5%。新发展理念指引下，中国推动高质量发展，加强生态环境保护，扩大高水平对外开放，保障和改善民生。构建新发展格局是实现高水平自立自强的关键，中国通过深化改革、扩大内需、优化市场环境等措施，增强经济发展的安全性和稳定性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标题：中共中央办公厅 国务院办公厅印发《整治形式主义为基层减负若干规定》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中共中央办公厅、国务院办公厅于2024年8月6日发布《整治形式主义为基层减负若干规定》，旨在深化拓展整治形式主义为基层减负，健全为基层减负长效机制。规定包括精简文件、严格精简会议、统筹规范督查检查考核、规范借调干部、规范政务移动互联网应用程序管理、规范明晰基层权责、规范创建示范和达标活动等七方面内容，具体措施包括严控文件数量、提升文件质量、加强评估审查、严控会议数量、控制规模规格、提升质量效率、严格计划和备案管理、改进方式方法、严控对基层督查检查考核总量、不向县及以下单位借调干部、严控向市及以上单位借调干部、清理整合面向基层的政务应用程序、严格建设管理、防止功能异化、建立健全职责清单、完善清单外事项准入制度、规范工作机制、挂牌和证明事项、依法依规确定基层信访工作职责、精简种类数量、注重创建示范实效、在基层不搞达标活动。规定自发布之日起施行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标题：国家发改委安排1亿元支持灾后应急恢复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国家发展改革委紧急安排中央预算内投资1亿元，支持广东省做好洪涝灾害灾后应急恢复，重点用于灾区受损道路、供水、医院等基础设施和公共服务设施灾后应急恢复建设，推动尽快恢复正常生产生活秩序。近日，广东省广州、东莞、惠州、汕尾等地持续降雨引发严重暴雨洪涝灾害。国家防灾减灾救灾委员会6日对广东启动国家四级救灾应急响应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标题：市场监管总局拟对城镇供水供电供气公用企业计量行为出台新规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市场监管总局近日发布《城镇供水供电供气公用企业计量行为合规指南（征求意见稿）》，面向社会公开征求意见，意见反馈截止日期为9月3日。指南分为总则、计量行为合规要求、附则三部分，共七章24条，涵盖城镇供水供电供气公用企业，要求健全计量管理制度，强化计量器具全流程管理，确保计量器具从采购到报废全流程可追溯，强调计量数据归集与监测，鼓励与相关部门监管平台实现数据对接。乡村供水供电供气的公用企业的计量活动可参照指南实施。市场监管总局将根据反馈完善指南内容，尽快出台实施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标题：路通人和！我国加速织就交通“经纬网”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摘要：我国正在加速构建交通网络，旨在实现路通人和的目标。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标题：“减法+加法” 这项民生新政中有哪些关键点？专家解读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摘要：中国经济半年报显示，上半年钢铁行业利润有所变化，具体数据未提及。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标题：甘肃立法明确男女厕位比例，能解决女厕排长队的问题吗？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甘肃省自2025年8月起施行《甘肃省妇女权益保障条例》，成为全国首个以地方立法形式明确公厕男女厕位比例的省份，规定城市公共厕所女性厕位与男性厕位比例应提高到3∶2，人流集中的场所比例应提高到2∶1。此举旨在解决女性如厕排长队的问题，考虑到女性如厕时间平均为男性的2.3倍。2016年住房城乡建设部已提出类似标准，但多为行业性非强制性要求。甘肃省的《条例》将这一标准从“软性建议”转变为“硬性规定”，以提升社会治理的精细化程度。对于存量厕所，多地尝试通过设置潮汐公厕、无性别厕所等方式优化男女厕位比例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二: 综合热点新闻(国际)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标题：滚动更新丨纳斯达克指数涨0.8%，苹果股价涨幅扩大至5.5%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股三大指数集体高开，纳斯达克指数涨0.8%，苹果股价涨幅扩大至5.5%。Shopify涨超15%，爱奇艺涨超5%。特朗普顾问正推动任命临时美联储理事来填补席位，特朗普将对印度商品额外加征25%关税。美、布两油短线走高，日内均涨超2%。硅谷半导体公司Astera Labs美股拉升，涨逾31%。苹果美股盘前现涨1.88%，美国白宫方面表示，苹果将在美国增加1000亿美元的投资承诺。现货钯金失守1150美元/盎司，日内跌幅达3.40%。Shopify美股盘前涨幅扩大至近17%，公司二季度业绩好于预期。爱奇艺美股盘前涨幅扩大至7%，有报道称爱奇艺寻求通过在香港市场上市融资3亿美元。现货黄金失守3360美元/盎司，日内跌幅0.63%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标题：关税冲击美国服务业：就业萎缩与价格飙升夹击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服务业受到关税冲击，导致就业萎缩与价格飙升。7月服务业PMI下滑至50.1，低于预期，新订单指数和就业指数均显示收缩，而支付价格指数创下新高。多个行业反映关税导致成本上升，餐饮业尤其受影响，预计将导致菜单价格上涨。劳动力市场显示放缓迹象，7月新增就业岗位远低于预期。专家认为美国经济增速放缓已成定局，但美联储的政策路径可能不会因此改变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三: 汽车类热点新闻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标题：马自达季度净亏损2.86亿美元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日本汽车制造商马自达今年4月至6月净亏损达420亿日元（约合2.86亿美元），与去年同期的盈利状况形成鲜明对比。去年4月至6月，马自达实现净利润498亿日元。马自达的销售额总计1.1万亿日元，同比下降8.8%；营业亏损达460亿日元。马自达预计本财年净利润将达到200亿日元，较上财年下降82.5%，预计净销售额为4.9万亿日元，同比下降2.4%。美国政府加征的进口汽车关税对其营业利润造成了约700亿日元的负面影响。马自达预计，就本财年来看，关税的影响将达2,333亿日元。马自达总裁兼首席执行官Masahiro Moro表示，北美是马自达最重要的市场，关税的提高给企业管理带来了沉重的短期负担。上个季度，马自达在全球范围内共售出301,000辆汽车，较上年同期下滑3%。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标题：理想汽车高管曝光黑水军兼职群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理想汽车产品线负责人“老汤哥Tango”在微博上曝光了一个网络水军组织抹黑理想汽车的兼职群聊天截图，揭露了收集理想汽车不规范行为和恶意评论的任务及价格。此外，理想i8发布后遭遇抹黑，与去年MEGA发布时情况相似。理想汽车CEO李想曾表示MEGA遭遇汽车史上最大抹黑事件，但现已成为50万以上MPV和纯电车的销量冠军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标题：Rivian起诉俄亥俄：直销禁令豁免特斯拉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电动汽车制造商Rivian于2025年8月4日对美国俄亥俄州提起诉讼，指控其2014年颁布的法律对特斯拉实行特殊豁免，却禁止其他电动汽车制造商直接向消费者销售产品。Rivian主张这项直销禁令违反了宪法，抑制了市场竞争，并寻求一项强制令以阻止俄亥俄州对该公司执行直销禁令。俄亥俄州机动车管理局和俄亥俄州汽车经销商协会（OADA）已对此案作出回应。特斯拉此前通过法律抗争为其他电动汽车初创企业铺平了道路。大众汽车集团旗下Scout Motors也面临类似的法律挑战。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标题：富士康出售汽车工厂，战略重心转向AI领域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摘要：富士康出售其位于美国俄亥俄州洛兹敦的汽车工厂给成立仅12天的神秘公司Crescent Dune LLC，售价为3.75亿美元。该工厂富士康拥有三年多，但未达成规模化电动汽车生产。富士康表示未来会继续使用该场地生产符合战略重点的产品，并将出售所得再投资美国市场。有消息称，该工厂可能会生产AI相关产品，作为富士康向云计算、网络及AI服务领域转型的一部分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标题：2025上半年新能源汽车产业发展良好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摘要：2025年上半年，作为“十四五”收官之年，新能源汽车产业保持了良好发展势头，产销分别为696.8万辆和693.7万辆，同比增长41.4%和40.3%。新能源汽车出口106万辆，同比增长75.2%。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四: 疑似重复信息新闻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标题：特朗普对印度加征25%的额外关税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总统特朗普签署行政命令，对来自印度的商品加征25%的额外关税，以回应印度继续“直接或间接进口俄罗斯石油”。此决定于当地时间8月6日宣布，特朗普此前于8月4日表示，由于印度购买大量俄罗斯石油并借此获利，美国将大幅提高从印度进口产品的关税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标题：新一波特朗普关税在路上？印度、欧盟、制药和芯片被点名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总统特朗普宣布将在未来24小时内大幅提高对印度的关税，目前税率为25%，并计划在未来一周左右宣布对半导体和制药产品进口的关税。特朗普还威胁如果欧盟不履行投资义务，将对其征收35%的关税。此外，特朗普政府已开启针对半导体和药品的“232条款调查”，以评估这些产品进口对美国国家安全的影响。印度外交部表示将采取必要措施维护国家利益和经济安全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标题：时隔十年，A股两融余额重返2万亿！什么信号？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时隔十年，A股两融余额重返2万亿元，截至2025年8月5日，两融余额达到20002.59亿元，占A股流通市值2.30%。其中，融资余额19863.11亿元，融券余额139.48亿元。上一次A股两融余额超过2万亿元是在2015年7月1日。本轮两融余额的回升主要由于融资余额的持续增加，从7月21日至8月6日的12个交易日中，融资余额连续超过1.9万亿元。融资买入额占A股成交额的比例也连续多个交易日超过10%。分析人士指出，融资余额的增加反映了杠杆资金的市场情绪高涨，可能预示着市场的上涨趋势得到了杠杆资金的认可。但同时，也有分析提醒，融资余额的阶段性创新高可能是市场过热的信号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标题：推荐特朗普称美将对芯片和半导体征收约100%的关税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摘要：当地时间8月6日，美国总统特朗普表示，美国将对芯片和半导体征收约100%的关税。特朗普称，如果在美国制造，将不收取任何费用。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标题：中办、国办印发《整治形式主义为基层减负若干规定》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中共中央办公厅、国务院办公厅于2024年8月6日印发《整治形式主义为基层减负若干规定》，旨在深化拓展整治形式主义为基层减负，健全长效机制。规定包括精简文件、严格精简会议、统筹规范督查检查考核、规范借调干部、规范政务移动互联网应用程序管理、规范明晰基层权责、规范创建示范和达标活动等七方面内容，具体措施如严控文件数量、提升文件质量、加强评估审查、严控会议数量、控制规模规格、提升质量效率、严格计划和备案管理、改进方式方法、严控对基层督查检查考核总量、不向县及以下单位借调干部、严控向市及以上单位借调干部、清理整合面向基层的政务应用程序、严格建设管理、防止功能异化、建立健全职责清单、完善清单外事项准入制度、规范工作机制、挂牌和证明事项、依法依规确定基层信访工作职责、精简种类数量、注重创建示范实效、在基层不搞达标活动等。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标题：2025年08月07日汽车相关企业股市情况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来源：百度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摘要：见下图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微软雅黑" w:hAnsi="微软雅黑" w:eastAsia="微软雅黑"/>
        <w:sz w:val="18"/>
      </w:rPr>
      <w:t>第</w:t>
      <w:fldChar w:fldCharType="begin"/>
      <w:instrText xml:space="preserve">PAGE</w:instrText>
      <w:fldChar w:fldCharType="end"/>
    </w:r>
    <w:r>
      <w:rPr>
        <w:rFonts w:ascii="微软雅黑" w:hAnsi="微软雅黑" w:eastAsia="微软雅黑"/>
        <w:sz w:val="18"/>
      </w:rPr>
      <w:t>页 | 2025年08月07日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微软雅黑" w:hAnsi="微软雅黑" w:eastAsia="微软雅黑"/>
        <w:color w:val="000000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