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2025年08月15日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来源：http://www.cidca.gov.cn/</w:t>
      </w:r>
    </w:p>
    <w:p>
      <w:pPr>
        <w:spacing w:after="0"/>
      </w:pPr>
      <w:r>
        <w:rPr>
          <w:rFonts w:ascii="微软雅黑" w:hAnsi="微软雅黑" w:eastAsia="微软雅黑"/>
          <w:sz w:val="18"/>
        </w:rPr>
        <w:t>摘要：国家国际发展合作署网站报道了多位中国领导人包括习近平、王毅、李强等与外国领导人及官员的会晤和互致贺电活动，涉及国家包括巴基斯坦、新加坡、哈萨克斯坦、白俄罗斯、柬埔寨、埃塞俄比亚、尼泊尔、毛里塔尼亚、尼日利亚、越南等。此外，还报道了国家国际发展合作署署长陈晓东的考察调研和访问活动，以及中国与埃及、缅甸、尼泊尔等国的合作项目和援助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标题：金融发力破解融资难题</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金融体系在“十四五”期间通过政策引导、资金支持和能力建设，持续健全金融支持体制机制，提升企业融资可得性、普惠性和便利度。普惠小微贷款年均增速超过20%，普惠小微贷款余额从2020年末的15.1万亿元增长至2025年6月末的35.6万亿元，信用贷款占比近三成。私人控股企业贷款余额增至约45万亿元。金融机构通过创新举措和多元化融资渠道，如债券市场“科技板”和动产融资统一登记公示系统，支持民营和小微企业发展。普惠小微企业贷款利率从2020年12月的5.08%降至2025年6月的3.48%，助力企业“轻装上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标题：中国消费者绿色消费指南向社会征求意见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摘要：中国消费者绿色消费指南向社会征求意见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标题：央行宣布降息，释放流动性支持实体经济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摘要：央行宣布降息，释放流动性支持实体经济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标题：新型城镇化规划发布，推动城乡融合发展</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摘要：新型城镇化规划发布，推动城乡融合发展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标题：社会信用体系建设加速，个人征信覆盖范围扩大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摘要：社会信用体系建设加速，个人征信覆盖范围扩大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标题：数字人民币试点扩大，覆盖更多消费场景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摘要：数字人民币试点范围扩大，将覆盖更多消费场景。</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标题：全球气候变化大会达成历史性协议，多国承诺减排目标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摘要：全球气候变化大会达成历史性协议，多国承诺减排目标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标题：全球芯片短缺持续，多国寻求供应链多元化</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摘要：全球芯片短缺持续，多国寻求供应链多元化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标题：国际贸易组织警告全球贸易增长放缓</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摘要：国际贸易组织警告全球贸易增长放缓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标题：全球粮食价格持续上涨，多国加强粮食安全措施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摘要：全球粮食价格持续上涨，多国加强粮食安全措施</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标题：政策大力扶持，V2G建设驶入 “快车道”</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双碳”目标的引领下，车网互动（V2G）模式正从概念走向实践。广汽昊铂等企业积极布局V2G领域，国家及地方政府也出台了一系列支持政策。截至2025年8月14日，全国已累计发布15条V2G领域的相关政策。具体政策包括：发改委等四部门将九大城市列入首批车网互动规模化应用试点；国家能源局大力推进车网互动规模化应用试点；江苏南京对具备V2G功能的换电站单站补贴5万元；海南推进车联网、车网互动、光储充换一体站建设；北京征集先进充电设施示范项目；深圳坪山区对V2G项目给予建设补贴；浙江杭州对参与V2G的充电场站给予放电补贴；广州对购置或投资更新V2G设施的企业或用户给予建设补贴；河北支持民营企业参与充电基础设施建设运营；成都对纳入国家/省级试点的V2G项目给予放电量补贴；上海对智能充（放）电桩V2G给予奖励；江苏鼓励电动汽车运营商参与电力市场交易；四川推动车网双向互动新业态发展；浙江鼓励开展车网互动（V2G）项目建设；山东开展车网互动价格机制改革试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标题：车企销量TOP10：新旧势力到底该争夺什么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国内乘用车市场表现强劲，自主品牌与合资品牌的市场分化加剧。自主品牌在新能源领域占据明显优势，比亚迪、吉利、奇瑞等品牌销量显著增长，而合资品牌面临市场压力。比亚迪以34.1万辆的批售量领跑，海外市场成为其核心增量引擎。吉利汽车新能源渗透率过半，奇瑞汽车出口销量接近12万辆，稳居中国车企出口第一名。合资品牌中，上汽通用五菱表现稳健，丰田和特斯拉面临转型困境和市场压力。自主品牌通过技术积累和市场培育，在新能源和智能化领域实现突破，逐步从合资品牌手中抢夺产品定义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标题：广汽能源与奇瑞绿能合作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汽能源与奇瑞绿能达成合作，广汽能源的充电网络将向奇瑞绿能开放，接入20000＋的充电网络。广汽能源计划从2025年开始实施“三连倍增”战略，目标到2027年进入能源运营头部阵营。此前，广汽能源已与极狐汽车和极氪能源等企业展开充电网络共享合作。截至2025年中，广汽能源在全国31省、202城建成1671座充电站，自营快充终端超1.7万支；平台互联站点超11万座，终端超107万支，海外布局覆盖五大洲31国，终端超3万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标题：激光雷达增长强劲，禾赛重回第一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全球新能源汽车渗透率突破45%，激光雷达从“尝鲜高配”快速蜕变为新车型的“安全标配”。2024年国内激光雷达装机量首次突破150万颗，同比激增179.7%；2025年上半年达100.2万颗，同比再增71%，全年有望冲击250万颗。禾赛科技、速腾聚创、华为等自主厂商占据市场主导。2025年1-6月主激光雷达装机量共861,767颗，禾赛科技装机量为284,399颗，市场份额33.0%，稳居第一。激光雷达在新能源乘用车中的渗透率已达17%，且连续三个月保持在16%以上。10–20万元价格区间的激光雷达车型销量快速上扬，10–15万元细分市场在6月实现环比翻番。禾赛的ATX车规级小巧型远距激光雷达成为L2辅助驾驶激光雷达的爆款产品，渗透至10万元级车型。禾赛已与24家国内外汽车厂商达成量产定点合作关系，新增9家头部车企的20款车型定点。激光雷达成本快速下降，用于L2级辅助驾驶的主激光雷达价格已降至200美元左右。禾赛作为牵头单位及第一起草单位主持编制的《车载激光雷达国家标准GB/T 45500-2025》正式发布并实施。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标题：比亚迪ATTO2香港上市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摘要：比亚迪ATTO2在香港上市，具体上市日期和量化数据未提及。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标题：【国际快讯】比亚迪印度销量创新高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摘要：截至8月初，比亚迪今年以来在印度市场的销量已突破3,000辆大关，超过其2024年在印度的全年销量总和，创下销售新纪录。丰田汽车计划于2026年在南非推出三款纯电动车型。凯迪拉克任命Dominic Najafi担任全球设计执行总监。VinFast拟分拆研发部门并以约15亿美元出售给创始人Pham Nhat Vuong，同时与Plugsurfing达成合作提升充电便利性。英国电池开发商Harmony Energy计划融资3亿英镑拓展欧洲储能市场。日产、雷诺和沃克斯豪尔的电动汽车入选英国政府补贴计划。Lucid否认其Gravity SUV仅售出9辆。网约车平台Lyft联合创始人将退出董事会。加拿大汽车零部件制造商利纳马公司第二季度销售额为26亿加元，净利润下滑。耐世特2025年上半年营收为22亿美元，同比增长7%。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标题：别把辅助当自动！两部门拟严管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两部门拟严管智能网联新能源汽车的安全使用，要求企业在应用程序界面、车载信息系统及用户手册中清晰展示组合驾驶辅助系统的安全警示与使用指南，防止误用为自动驾驶。企业需研发驾驶员监控、预警及应急处理功能，实时监控驾驶状态，及时预警危险行为。加强网络安全防护，市场监管总局将开展缺陷调查，必要时要求召回。禁止通过设计关闭安全功能，确保信息填报准确，OTA升级需备案。企业需真实全面提供驾驶自动化等级等信息，避免虚假宣传。市场监管总局将加大监督检查力度，严厉打击夸大功能、误导消费者行为。企业需及时报告安全事件和碰撞事故，未按要求报告将公开通报并督促整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标题：2025国际汽车创新技术周开幕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国际汽车创新技术周于8月13日在上海新国际博览中心开幕，吸引了超过3.3万名国内外专业观众，其中海外观众超5826名。中国汽车工业协会监事长兼副秘书长姚杰分享了2025年1-7月我国汽车产销数据，新能源汽车产销分别完成823.2万辆和822万辆，同比增长显著。展会展示了汽车内外饰行业的最新技术和产品，并举办了专业主题论坛。质子汽车发布了“曜灵Ⅱ”概念重卡，展示了无人货运新模式。此外，展会还特别开辟了具身智能板块，展示了中国具身智能产业的发展潜力。</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标题：2025年08月15日汽车相关企业股市情况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2025年08月15日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