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13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到SZU-srun-login 下，</w:t>
      </w:r>
    </w:p>
    <w:p w14:paraId="633AB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然后nohup python3 main.py &amp;</w:t>
      </w:r>
    </w:p>
    <w:p w14:paraId="1AFA7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把主函数挂到后台即可。</w:t>
      </w:r>
    </w:p>
    <w:p w14:paraId="1E4F6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无需开代理也能够联网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01ECE7C1">
      <w:r>
        <w:drawing>
          <wp:inline distT="0" distB="0" distL="114300" distR="114300">
            <wp:extent cx="5266690" cy="33147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B02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904875"/>
            <wp:effectExtent l="0" t="0" r="146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9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2026-04-18T08:03:17Z</dcterms:created>
  <dc:creator>Administrator</dc:creator>
  <cp:lastModifiedBy>微信用户</cp:lastModifiedBy>
  <dcterms:modified xsi:type="dcterms:W3CDTF">2026-04-18T09:38:52Z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eyJoZGlkIjoiYTkyYzAwYmY5MjY4ZmQ3YTM1OGY3NDBhODM1MTIzOGYiLCJ1c2VySWQiOiIxMjE3MjI5MDA3In0=</vt:lpwstr>
  </property>
  <property fmtid="{D5CDD505-2E9C-101B-9397-08002B2CF9AE}" pid="4" name="ICV">
    <vt:lpwstr>5910FDBAB8F04F04881C1DB481BEC634_12</vt:lpwstr>
  </property>
</Properties>
</file>