
<file path=[Content_Types].xml><?xml version="1.0" encoding="utf-8"?>
<Types xmlns="http://schemas.openxmlformats.org/package/2006/content-types">
  <Default Extension="xml" ContentType="application/xml"/>
  <Default Extension="jpeg" ContentType="image/jpeg"/>
  <Default Extension="tif" ContentType="image/tiff"/>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F167C0" w14:textId="611DEDAF" w:rsidR="006D40B7" w:rsidRPr="00BE3C54" w:rsidRDefault="00BE3C54" w:rsidP="00BE3C54">
      <w:pPr>
        <w:jc w:val="center"/>
        <w:rPr>
          <w:b/>
          <w:sz w:val="28"/>
        </w:rPr>
      </w:pPr>
      <w:r w:rsidRPr="00BE3C54">
        <w:rPr>
          <w:b/>
          <w:sz w:val="28"/>
        </w:rPr>
        <w:t>Whole-</w:t>
      </w:r>
      <w:r w:rsidR="00B44B96" w:rsidRPr="00BE3C54">
        <w:rPr>
          <w:b/>
          <w:sz w:val="28"/>
        </w:rPr>
        <w:t xml:space="preserve">plant image processing for </w:t>
      </w:r>
      <w:r w:rsidRPr="00BE3C54">
        <w:rPr>
          <w:b/>
          <w:sz w:val="28"/>
        </w:rPr>
        <w:t>synthetic genetic circuits</w:t>
      </w:r>
    </w:p>
    <w:p w14:paraId="7D25F12F" w14:textId="77777777" w:rsidR="00B44B96" w:rsidRPr="00E03CDA" w:rsidRDefault="00B44B96"/>
    <w:p w14:paraId="084EECC8" w14:textId="1803DC71" w:rsidR="00483340" w:rsidRPr="008E06D6" w:rsidRDefault="00B44B96" w:rsidP="00623413">
      <w:pPr>
        <w:rPr>
          <w:b/>
        </w:rPr>
      </w:pPr>
      <w:r w:rsidRPr="00E03CDA">
        <w:rPr>
          <w:b/>
        </w:rPr>
        <w:t xml:space="preserve">Introduction </w:t>
      </w:r>
    </w:p>
    <w:p w14:paraId="56DE6954" w14:textId="59AB0B51" w:rsidR="00483340" w:rsidRPr="00E03CDA" w:rsidRDefault="00E53871" w:rsidP="00623413">
      <w:r w:rsidRPr="00E03CDA">
        <w:t>Synthetic Biology not only provide us a powerful toolbox to have a better understanding of the natural genetic circuits but also enable us to design and realize functionalities that are not found in nature</w:t>
      </w:r>
      <w:r w:rsidR="00F3635C">
        <w:t xml:space="preserve"> </w:t>
      </w:r>
      <w:r w:rsidR="00F3635C">
        <w:fldChar w:fldCharType="begin" w:fldLock="1"/>
      </w:r>
      <w:r w:rsidR="00F3635C">
        <w:instrText>ADDIN CSL_CITATION { "citationItems" : [ { "id" : "ITEM-1", "itemData" : { "DOI" : "10.1126/science.1207084", "ISBN" : "1095-9203 (Electronic)\\r0036-8075 (Linking)", "ISSN" : "0036-8075", "PMID" : "21885772", "abstract" : "A major goal of synthetic biology is to develop a deeper understanding of biological design principles from the bottom up, by building circuits and studying their behavior in cells. Investigators initially sought to design circuits \u201cfrom scratch\u201d that functioned as independently as possible from the underlying cellular system. More recently, researchers have begun to develop a new generation of synthetic circuits that integrate more closely with endogenous cellular processes. These approaches are providing fundamental insights into the regulatory architecture, dynamics, and evolution of genetic circuits and enabling new levels of control across diverse biological systems.", "author" : [ { "dropping-particle" : "", "family" : "Nandagopal", "given" : "N.", "non-dropping-particle" : "", "parse-names" : false, "suffix" : "" }, { "dropping-particle" : "", "family" : "Elowitz", "given" : "M. B.", "non-dropping-particle" : "", "parse-names" : false, "suffix" : "" } ], "container-title" : "Science", "id" : "ITEM-1", "issue" : "6047", "issued" : { "date-parts" : [ [ "2011" ] ] }, "page" : "1244-1248", "title" : "Synthetic Biology: Integrated Gene Circuits", "type" : "article-journal", "volume" : "333" }, "uris" : [ "http://www.mendeley.com/documents/?uuid=8f0d0e02-7360-430f-9cf3-e43143f6e85f" ] } ], "mendeley" : { "formattedCitation" : "(1)", "plainTextFormattedCitation" : "(1)", "previouslyFormattedCitation" : "(1)" }, "properties" : { "noteIndex" : 0 }, "schema" : "https://github.com/citation-style-language/schema/raw/master/csl-citation.json" }</w:instrText>
      </w:r>
      <w:r w:rsidR="00F3635C">
        <w:fldChar w:fldCharType="separate"/>
      </w:r>
      <w:r w:rsidR="00F3635C" w:rsidRPr="00F3635C">
        <w:rPr>
          <w:noProof/>
        </w:rPr>
        <w:t>(1)</w:t>
      </w:r>
      <w:r w:rsidR="00F3635C">
        <w:fldChar w:fldCharType="end"/>
      </w:r>
      <w:r w:rsidRPr="00E03CDA">
        <w:t xml:space="preserve">. </w:t>
      </w:r>
      <w:r w:rsidR="00FE2600" w:rsidRPr="00E03CDA">
        <w:t xml:space="preserve">The emerging field of Synthetic Biology is </w:t>
      </w:r>
      <w:r w:rsidRPr="00E03CDA">
        <w:t>characterized by the engineering oriented methodology, usually containing four iterative steps</w:t>
      </w:r>
      <w:r w:rsidR="00F3635C">
        <w:t xml:space="preserve"> </w:t>
      </w:r>
      <w:r w:rsidR="00F3635C">
        <w:fldChar w:fldCharType="begin" w:fldLock="1"/>
      </w:r>
      <w:r w:rsidR="00F3635C">
        <w:instrText>ADDIN CSL_CITATION { "citationItems" : [ { "id" : "ITEM-1", "itemData" : { "DOI" : "10.1146/annurev-bioeng-071811-150118", "ISBN" : "1545-4274 (Electronic)\\r1523-9829 (Linking)", "ISSN" : "1523-9829", "PMID" : "22577777", "abstract" : "Over the past decade, synthetic biology has emerged as an engineering discipline for biological systems. Compared with other substrates, biology poses a unique set of engineering challenges resulting from an incomplete understanding of natural biological systems and tools for manipulating them. To address these challenges, synthetic biology is advancing from developing proof-of-concept designs to focusing on core platforms for rational and high-throughput biological engineering. These platforms span the entire biological design cycle, including DNA construction, parts libraries, computational design tools, and interfaces for manipulating and probing synthetic circuits. The development of these enabling technologies requires an engineering mindset to be applied to biology, with an emphasis on generalizable techniques in addition to application-specific designs. This review aims to discuss the progress and challenges in synthetic biology and to illustrate areas where synthetic biology may impact biomedical engineering and human health.", "author" : [ { "dropping-particle" : "", "family" : "Cheng", "given" : "Allen A.", "non-dropping-particle" : "", "parse-names" : false, "suffix" : "" }, { "dropping-particle" : "", "family" : "Lu", "given" : "Timothy K.", "non-dropping-particle" : "", "parse-names" : false, "suffix" : "" } ], "container-title" : "Annual Review of Biomedical Engineering", "id" : "ITEM-1", "issue" : "1", "issued" : { "date-parts" : [ [ "2012" ] ] }, "page" : "155-178", "title" : "Synthetic Biology: An Emerging Engineering Discipline", "type" : "article-journal", "volume" : "14" }, "uris" : [ "http://www.mendeley.com/documents/?uuid=5b5e13db-8290-4294-9def-99120db38301" ] } ], "mendeley" : { "formattedCitation" : "(2)", "plainTextFormattedCitation" : "(2)", "previouslyFormattedCitation" : "(2)" }, "properties" : { "noteIndex" : 0 }, "schema" : "https://github.com/citation-style-language/schema/raw/master/csl-citation.json" }</w:instrText>
      </w:r>
      <w:r w:rsidR="00F3635C">
        <w:fldChar w:fldCharType="separate"/>
      </w:r>
      <w:r w:rsidR="00F3635C" w:rsidRPr="00F3635C">
        <w:rPr>
          <w:noProof/>
        </w:rPr>
        <w:t>(2)</w:t>
      </w:r>
      <w:r w:rsidR="00F3635C">
        <w:fldChar w:fldCharType="end"/>
      </w:r>
      <w:r w:rsidRPr="00E03CDA">
        <w:t xml:space="preserve">: 1) quantitatively characterize parts of genetic circuits; 2) design genetic circuits in silico using mathematical modeling; 3) assemble the designed genetic circuits and test </w:t>
      </w:r>
      <w:r w:rsidR="00DF2A28" w:rsidRPr="00E03CDA">
        <w:t xml:space="preserve">their functionalities </w:t>
      </w:r>
      <w:r w:rsidRPr="00E03CDA">
        <w:t>in quantitative experiments; 4) evaluate the performances of assembled genetic circuits</w:t>
      </w:r>
      <w:r w:rsidR="009D4DB9" w:rsidRPr="00E03CDA">
        <w:t xml:space="preserve"> using quantitative data generated in step 3)</w:t>
      </w:r>
      <w:r w:rsidRPr="00E03CDA">
        <w:t xml:space="preserve">. </w:t>
      </w:r>
      <w:r w:rsidR="009D4DB9" w:rsidRPr="00E03CDA">
        <w:t>Therefore, q</w:t>
      </w:r>
      <w:r w:rsidRPr="00E03CDA">
        <w:t>uantitative data generated by quantitative experiments plays pivotal roles in Synthetic Biology.</w:t>
      </w:r>
      <w:r w:rsidR="00EB67B7" w:rsidRPr="00E03CDA">
        <w:t xml:space="preserve"> </w:t>
      </w:r>
    </w:p>
    <w:p w14:paraId="2D7BAFF5" w14:textId="77777777" w:rsidR="00483340" w:rsidRPr="00E03CDA" w:rsidRDefault="00483340" w:rsidP="00623413"/>
    <w:p w14:paraId="7D1A07D1" w14:textId="437B2075" w:rsidR="009D4DB9" w:rsidRPr="00E03CDA" w:rsidRDefault="009D4DB9" w:rsidP="00623413">
      <w:r w:rsidRPr="00E03CDA">
        <w:t xml:space="preserve">In </w:t>
      </w:r>
      <w:r w:rsidR="00502461" w:rsidRPr="00E03CDA">
        <w:t>most Synthetic Biology studies</w:t>
      </w:r>
      <w:r w:rsidR="00D72C14" w:rsidRPr="00E03CDA">
        <w:t xml:space="preserve"> using bacteria, yeast and mammalian cell culture</w:t>
      </w:r>
      <w:r w:rsidR="00502461" w:rsidRPr="00E03CDA">
        <w:t xml:space="preserve">, quantitative </w:t>
      </w:r>
      <w:r w:rsidR="006D167D" w:rsidRPr="00E03CDA">
        <w:t>experiments</w:t>
      </w:r>
      <w:r w:rsidR="00502461" w:rsidRPr="00E03CDA">
        <w:t xml:space="preserve"> </w:t>
      </w:r>
      <w:r w:rsidR="006D167D" w:rsidRPr="00E03CDA">
        <w:t xml:space="preserve">can be carried out </w:t>
      </w:r>
      <w:r w:rsidR="00502461" w:rsidRPr="00E03CDA">
        <w:t xml:space="preserve">by </w:t>
      </w:r>
      <w:r w:rsidR="006D167D" w:rsidRPr="00E03CDA">
        <w:t xml:space="preserve">expression of </w:t>
      </w:r>
      <w:r w:rsidR="009B7E68" w:rsidRPr="00E03CDA">
        <w:t>fluorescent proteins</w:t>
      </w:r>
      <w:r w:rsidR="006D167D" w:rsidRPr="00E03CDA">
        <w:t xml:space="preserve"> and quantitative data can be collected</w:t>
      </w:r>
      <w:r w:rsidR="00D72C14" w:rsidRPr="00E03CDA">
        <w:t xml:space="preserve"> through </w:t>
      </w:r>
      <w:r w:rsidR="00E77432">
        <w:t xml:space="preserve">fluorescence-aided cell sorting (FACS) or </w:t>
      </w:r>
      <w:r w:rsidR="00D72C14" w:rsidRPr="00E03CDA">
        <w:t xml:space="preserve">image processing </w:t>
      </w:r>
      <w:r w:rsidR="006D5D70">
        <w:t>routines</w:t>
      </w:r>
      <w:r w:rsidR="00E77432">
        <w:t xml:space="preserve"> </w:t>
      </w:r>
      <w:r w:rsidR="00E77432">
        <w:fldChar w:fldCharType="begin" w:fldLock="1"/>
      </w:r>
      <w:r w:rsidR="00F3635C">
        <w:instrText>ADDIN CSL_CITATION { "citationItems" : [ { "id" : "ITEM-1", "itemData" : { "DOI" : "10.1111/tpj.13235", "ISBN" : "9704910649", "ISSN" : "1365313X", "PMID" : "27297052", "abstract" : "Synthetic biology enables the construction of genetic circuits with predictable gene functions in plants. Detailed quantitative descriptions of the transfer function or input-output function for genetic parts (promoters, 5' and 3' untranslated regions, etc.) are collected. These data are then used in computational simulations to determine their robustness and desired properties, thereby enabling the best components to be selected for experimental testing in plants. In addition, the process forms an iterative workflow which allows vast improvement to validated elements with sub-optimal function. These processes enable computational functions such as digital logic in living plants and follow the pathway of technological advances which took us from vacuum tubes to cell phones.", "author" : [ { "dropping-particle" : "", "family" : "Medford", "given" : "June I.", "non-dropping-particle" : "", "parse-names" : false, "suffix" : "" }, { "dropping-particle" : "", "family" : "Prasad", "given" : "Ashok", "non-dropping-particle" : "", "parse-names" : false, "suffix" : "" } ], "container-title" : "Plant Journal", "id" : "ITEM-1", "issue" : "1", "issued" : { "date-parts" : [ [ "2016" ] ] }, "page" : "139-148", "title" : "Towards programmable plant genetic circuits", "type" : "article-journal", "volume" : "87" }, "uris" : [ "http://www.mendeley.com/documents/?uuid=47b9a54b-a813-4d2c-af9c-c146f44788f4" ] } ], "mendeley" : { "formattedCitation" : "(3)", "plainTextFormattedCitation" : "(3)", "previouslyFormattedCitation" : "(3)" }, "properties" : { "noteIndex" : 0 }, "schema" : "https://github.com/citation-style-language/schema/raw/master/csl-citation.json" }</w:instrText>
      </w:r>
      <w:r w:rsidR="00E77432">
        <w:fldChar w:fldCharType="separate"/>
      </w:r>
      <w:r w:rsidR="00F3635C" w:rsidRPr="00F3635C">
        <w:rPr>
          <w:noProof/>
        </w:rPr>
        <w:t>(3)</w:t>
      </w:r>
      <w:r w:rsidR="00E77432">
        <w:fldChar w:fldCharType="end"/>
      </w:r>
      <w:r w:rsidR="00D72C14" w:rsidRPr="00E03CDA">
        <w:t xml:space="preserve">. However, this traditional strategy is challenging </w:t>
      </w:r>
      <w:r w:rsidR="0047067B" w:rsidRPr="00E03CDA">
        <w:t xml:space="preserve">in plant Synthetic Biology </w:t>
      </w:r>
      <w:r w:rsidR="00F7583A">
        <w:t>due to the high content</w:t>
      </w:r>
      <w:r w:rsidR="00D72C14" w:rsidRPr="00E03CDA">
        <w:t xml:space="preserve"> of </w:t>
      </w:r>
      <w:r w:rsidR="00F7583A">
        <w:t>chlorophyll</w:t>
      </w:r>
      <w:r w:rsidR="00C344CA" w:rsidRPr="00E03CDA">
        <w:t xml:space="preserve">, </w:t>
      </w:r>
      <w:r w:rsidR="0047067B" w:rsidRPr="00E03CDA">
        <w:t>making all the other fluorescent proteins hard to quantify</w:t>
      </w:r>
      <w:r w:rsidR="0033590C" w:rsidRPr="00E03CDA">
        <w:t xml:space="preserve"> </w:t>
      </w:r>
      <w:r w:rsidR="006D5D70">
        <w:t>due to</w:t>
      </w:r>
      <w:r w:rsidR="006D5D70" w:rsidRPr="00E03CDA">
        <w:t xml:space="preserve"> </w:t>
      </w:r>
      <w:r w:rsidR="006D5D70">
        <w:t xml:space="preserve">the </w:t>
      </w:r>
      <w:r w:rsidR="006D5D70" w:rsidRPr="00E03CDA">
        <w:t>auto-fluorescence</w:t>
      </w:r>
      <w:r w:rsidR="006D5D70" w:rsidRPr="006D5D70">
        <w:t xml:space="preserve"> </w:t>
      </w:r>
      <w:r w:rsidR="006D5D70">
        <w:t xml:space="preserve">and wide emission spectrum of chlorophylls </w:t>
      </w:r>
      <w:r w:rsidR="00E77432">
        <w:fldChar w:fldCharType="begin" w:fldLock="1"/>
      </w:r>
      <w:r w:rsidR="00F3635C">
        <w:instrText>ADDIN CSL_CITATION { "citationItems" : [ { "id" : "ITEM-1", "itemData" : { "DOI" : "10.1111/tpj.13235", "ISBN" : "9704910649", "ISSN" : "1365313X", "PMID" : "27297052", "abstract" : "Synthetic biology enables the construction of genetic circuits with predictable gene functions in plants. Detailed quantitative descriptions of the transfer function or input-output function for genetic parts (promoters, 5' and 3' untranslated regions, etc.) are collected. These data are then used in computational simulations to determine their robustness and desired properties, thereby enabling the best components to be selected for experimental testing in plants. In addition, the process forms an iterative workflow which allows vast improvement to validated elements with sub-optimal function. These processes enable computational functions such as digital logic in living plants and follow the pathway of technological advances which took us from vacuum tubes to cell phones.", "author" : [ { "dropping-particle" : "", "family" : "Medford", "given" : "June I.", "non-dropping-particle" : "", "parse-names" : false, "suffix" : "" }, { "dropping-particle" : "", "family" : "Prasad", "given" : "Ashok", "non-dropping-particle" : "", "parse-names" : false, "suffix" : "" } ], "container-title" : "Plant Journal", "id" : "ITEM-1", "issue" : "1", "issued" : { "date-parts" : [ [ "2016" ] ] }, "page" : "139-148", "title" : "Towards programmable plant genetic circuits", "type" : "article-journal", "volume" : "87" }, "uris" : [ "http://www.mendeley.com/documents/?uuid=47b9a54b-a813-4d2c-af9c-c146f44788f4" ] } ], "mendeley" : { "formattedCitation" : "(3)", "plainTextFormattedCitation" : "(3)", "previouslyFormattedCitation" : "(3)" }, "properties" : { "noteIndex" : 0 }, "schema" : "https://github.com/citation-style-language/schema/raw/master/csl-citation.json" }</w:instrText>
      </w:r>
      <w:r w:rsidR="00E77432">
        <w:fldChar w:fldCharType="separate"/>
      </w:r>
      <w:r w:rsidR="00F3635C" w:rsidRPr="00F3635C">
        <w:rPr>
          <w:noProof/>
        </w:rPr>
        <w:t>(3)</w:t>
      </w:r>
      <w:r w:rsidR="00E77432">
        <w:fldChar w:fldCharType="end"/>
      </w:r>
      <w:r w:rsidR="0047067B" w:rsidRPr="00E03CDA">
        <w:t xml:space="preserve">. </w:t>
      </w:r>
      <w:r w:rsidR="006D5D70">
        <w:t>One</w:t>
      </w:r>
      <w:r w:rsidR="0047067B" w:rsidRPr="00E03CDA">
        <w:t xml:space="preserve"> common solution in </w:t>
      </w:r>
      <w:r w:rsidR="006D5D70" w:rsidRPr="00E03CDA">
        <w:t xml:space="preserve">plant Synthetic Biology </w:t>
      </w:r>
      <w:r w:rsidR="0047067B" w:rsidRPr="00E03CDA">
        <w:t>is to use luminescence instead of fluorescence, which can be collected in a high signal-to-noise</w:t>
      </w:r>
      <w:r w:rsidR="0033590C" w:rsidRPr="00E03CDA">
        <w:t xml:space="preserve"> ratio in a low-light settin</w:t>
      </w:r>
      <w:r w:rsidR="00E77432">
        <w:t>g</w:t>
      </w:r>
      <w:r w:rsidR="00C11C01" w:rsidRPr="00E03CDA">
        <w:t xml:space="preserve">. </w:t>
      </w:r>
      <w:r w:rsidR="0033590C" w:rsidRPr="00E03CDA">
        <w:t xml:space="preserve">Two-channel imaging is also possible when a dual-reporter system is used (like </w:t>
      </w:r>
      <w:proofErr w:type="spellStart"/>
      <w:r w:rsidR="0033590C" w:rsidRPr="00E03CDA">
        <w:t>Renilla</w:t>
      </w:r>
      <w:proofErr w:type="spellEnd"/>
      <w:r w:rsidR="0033590C" w:rsidRPr="00E03CDA">
        <w:t xml:space="preserve"> luciferase and </w:t>
      </w:r>
      <w:proofErr w:type="spellStart"/>
      <w:r w:rsidR="00880BAD" w:rsidRPr="00E03CDA">
        <w:t>firely</w:t>
      </w:r>
      <w:proofErr w:type="spellEnd"/>
      <w:r w:rsidR="00880BAD" w:rsidRPr="00E03CDA">
        <w:t xml:space="preserve"> luciferase</w:t>
      </w:r>
      <w:r w:rsidR="0033590C" w:rsidRPr="00E03CDA">
        <w:t>)</w:t>
      </w:r>
      <w:r w:rsidR="00880BAD" w:rsidRPr="00E03CDA">
        <w:t xml:space="preserve"> that enables quantification of expression levels</w:t>
      </w:r>
      <w:r w:rsidR="006D5D70">
        <w:t xml:space="preserve"> of two components in the genetic circuits</w:t>
      </w:r>
      <w:r w:rsidR="00880BAD" w:rsidRPr="00E03CDA">
        <w:t xml:space="preserve">. </w:t>
      </w:r>
      <w:r w:rsidR="007310FF" w:rsidRPr="00E03CDA">
        <w:t>However, the low-light imaging condition poses additional challenges to quantify t</w:t>
      </w:r>
      <w:r w:rsidR="008C6E5F" w:rsidRPr="00E03CDA">
        <w:t xml:space="preserve">he luminescence data collected. The cameras used for low-light imaging are usually ultra-sensitive, which makes </w:t>
      </w:r>
      <w:r w:rsidR="002F37BD" w:rsidRPr="00E03CDA">
        <w:t>it hard to image the morphologies of plants simultaneously</w:t>
      </w:r>
      <w:r w:rsidR="00D8545E">
        <w:t xml:space="preserve"> in an optimal lighting condition</w:t>
      </w:r>
      <w:r w:rsidR="002F37BD" w:rsidRPr="00E03CDA">
        <w:t>. Without the plant morphology, the quantification becomes challenging</w:t>
      </w:r>
      <w:r w:rsidR="00F7583A">
        <w:t>.</w:t>
      </w:r>
      <w:r w:rsidR="002F37BD" w:rsidRPr="00E03CDA">
        <w:t xml:space="preserve"> </w:t>
      </w:r>
    </w:p>
    <w:p w14:paraId="6AAAD782" w14:textId="77777777" w:rsidR="00483340" w:rsidRPr="00E03CDA" w:rsidRDefault="00483340" w:rsidP="00623413"/>
    <w:p w14:paraId="371A765C" w14:textId="2AD503AF" w:rsidR="00623413" w:rsidRPr="00E03CDA" w:rsidRDefault="00623413" w:rsidP="00623413">
      <w:r w:rsidRPr="00E03CDA">
        <w:t xml:space="preserve">To quantify the expression levels of synthetic genes in transgenic plants and make comparable quantifications across different treatment conditions and time points, an </w:t>
      </w:r>
      <w:r w:rsidR="002F37BD" w:rsidRPr="00E03CDA">
        <w:t xml:space="preserve">imaging protocol and a corresponding </w:t>
      </w:r>
      <w:r w:rsidRPr="00E03CDA">
        <w:t xml:space="preserve">image processing software </w:t>
      </w:r>
      <w:r w:rsidR="002F37BD" w:rsidRPr="00E03CDA">
        <w:t>were</w:t>
      </w:r>
      <w:r w:rsidRPr="00E03CDA">
        <w:t xml:space="preserve"> developed with the ability to distinguish the luminescence emitted from different tissues of leaves and roots. </w:t>
      </w:r>
      <w:bookmarkStart w:id="0" w:name="_GoBack"/>
      <w:bookmarkEnd w:id="0"/>
    </w:p>
    <w:p w14:paraId="3F1CD60A" w14:textId="77777777" w:rsidR="002C6272" w:rsidRPr="00E03CDA" w:rsidRDefault="002C6272"/>
    <w:p w14:paraId="504C04F7" w14:textId="77777777" w:rsidR="00B44B96" w:rsidRPr="00E03CDA" w:rsidRDefault="00B44B96">
      <w:pPr>
        <w:rPr>
          <w:b/>
        </w:rPr>
      </w:pPr>
      <w:r w:rsidRPr="00E03CDA">
        <w:rPr>
          <w:b/>
        </w:rPr>
        <w:t xml:space="preserve">Material and Methods </w:t>
      </w:r>
    </w:p>
    <w:p w14:paraId="26696ED0" w14:textId="4A05BB2D" w:rsidR="006C387F" w:rsidRPr="00D8545E" w:rsidRDefault="00E03CDA" w:rsidP="0070770D">
      <w:pPr>
        <w:rPr>
          <w:b/>
        </w:rPr>
      </w:pPr>
      <w:r w:rsidRPr="00D8545E">
        <w:rPr>
          <w:b/>
        </w:rPr>
        <w:t>Plant materials</w:t>
      </w:r>
      <w:r w:rsidR="006C387F" w:rsidRPr="00D8545E">
        <w:rPr>
          <w:b/>
        </w:rPr>
        <w:t xml:space="preserve"> and growth conditions </w:t>
      </w:r>
    </w:p>
    <w:p w14:paraId="32707DD8" w14:textId="63EA3261" w:rsidR="00E03CDA" w:rsidRPr="00E03CDA" w:rsidRDefault="00E03CDA" w:rsidP="00E03CDA">
      <w:pPr>
        <w:rPr>
          <w:rFonts w:cs="Times New Roman"/>
        </w:rPr>
      </w:pPr>
      <w:r w:rsidRPr="00E03CDA">
        <w:rPr>
          <w:rFonts w:cs="Times New Roman"/>
          <w:i/>
        </w:rPr>
        <w:t>Arabidopsis thaliana</w:t>
      </w:r>
      <w:r w:rsidRPr="00E03CDA">
        <w:rPr>
          <w:rFonts w:cs="Times New Roman"/>
        </w:rPr>
        <w:t xml:space="preserve"> ecotype Columbia (Col-0) was used for all transformations. Plasmids were introduced into </w:t>
      </w:r>
      <w:r w:rsidRPr="00E03CDA">
        <w:rPr>
          <w:rFonts w:cs="Times New Roman"/>
          <w:i/>
        </w:rPr>
        <w:t xml:space="preserve">Agrobacterium </w:t>
      </w:r>
      <w:proofErr w:type="spellStart"/>
      <w:r w:rsidRPr="00E03CDA">
        <w:rPr>
          <w:rFonts w:cs="Times New Roman"/>
          <w:i/>
        </w:rPr>
        <w:t>tumefaciens</w:t>
      </w:r>
      <w:proofErr w:type="spellEnd"/>
      <w:r w:rsidRPr="00E03CDA">
        <w:rPr>
          <w:rFonts w:cs="Times New Roman"/>
        </w:rPr>
        <w:t xml:space="preserve"> GV3101 cells by electroporation. Agrobacterium transformed transgenic lines were generated by the common floral dipping method</w:t>
      </w:r>
      <w:r w:rsidR="003E3DB6">
        <w:rPr>
          <w:rFonts w:cs="Times New Roman"/>
        </w:rPr>
        <w:t xml:space="preserve"> </w:t>
      </w:r>
      <w:r w:rsidR="003E3DB6">
        <w:rPr>
          <w:rFonts w:cs="Times New Roman"/>
        </w:rPr>
        <w:fldChar w:fldCharType="begin" w:fldLock="1"/>
      </w:r>
      <w:r w:rsidR="00F3635C">
        <w:rPr>
          <w:rFonts w:cs="Times New Roman"/>
        </w:rPr>
        <w:instrText>ADDIN CSL_CITATION { "citationItems" : [ { "id" : "ITEM-1", "itemData" : { "DOI" : "10.1046/j.1365-313X.1998.00343.x", "ISBN" : "0960-7412 (Print)\\r0960-7412 (Linking)", "ISSN" : "09607412", "PMID" : "10069079", "abstract" : "The Agrobacterium vacuum infiltration method has made it possible to transform Arabidopsis thaliana without plant tissue culture or regeneration. In the present study, this method was evaluated and a substantially modified transformation method was developed. The labor-intensive vacuum infiltration process was eliminated in favor of simple dipping of developing floral tissues into a solution containing Agrobacterium tumefaciens, 5% sucrose and 500 microliters per litre of surfactant Silwet L-77. Sucrose and surfactant were critical to the success of the floral dip method. Plants inoculated when numerous immature floral buds and few siliques were present produced transformed progeny at the highest rate. Plant tissue culture media, the hormone benzylamino purine and pH adjustment were unnecessary, and Agrobacterium could be applied to plants at a range of cell densities. Repeated application of Agrobacterium improved transformation rates and overall yield of transformants approximately twofold. Covering plants for 1 day to retain humidity after inoculation also raised transformation rates twofold. Multiple ecotypes were transformable by this method. The modified method should facilitate high-throughput transformation of Arabidopsis for efforts such as T-DNA gene tagging, positional cloning, or attempts at targeted gene replacement.", "author" : [ { "dropping-particle" : "", "family" : "Clough", "given" : "Steven J.", "non-dropping-particle" : "", "parse-names" : false, "suffix" : "" }, { "dropping-particle" : "", "family" : "Bent", "given" : "Andrew F.", "non-dropping-particle" : "", "parse-names" : false, "suffix" : "" } ], "container-title" : "Plant Journal", "id" : "ITEM-1", "issue" : "6", "issued" : { "date-parts" : [ [ "1998" ] ] }, "page" : "735-743", "title" : "Floral dip: A simplified method for Agrobacterium-mediated transformation of &lt;i&gt;Arabidopsis thaliana&lt;/i&gt;.", "type" : "article-journal", "volume" : "16" }, "uris" : [ "http://www.mendeley.com/documents/?uuid=a133ac00-8789-4c16-b4e5-ca75896c4660" ] } ], "mendeley" : { "formattedCitation" : "(4)", "plainTextFormattedCitation" : "(4)", "previouslyFormattedCitation" : "(4)" }, "properties" : { "noteIndex" : 0 }, "schema" : "https://github.com/citation-style-language/schema/raw/master/csl-citation.json" }</w:instrText>
      </w:r>
      <w:r w:rsidR="003E3DB6">
        <w:rPr>
          <w:rFonts w:cs="Times New Roman"/>
        </w:rPr>
        <w:fldChar w:fldCharType="separate"/>
      </w:r>
      <w:r w:rsidR="00F3635C" w:rsidRPr="00F3635C">
        <w:rPr>
          <w:rFonts w:cs="Times New Roman"/>
          <w:noProof/>
        </w:rPr>
        <w:t>(4)</w:t>
      </w:r>
      <w:r w:rsidR="003E3DB6">
        <w:rPr>
          <w:rFonts w:cs="Times New Roman"/>
        </w:rPr>
        <w:fldChar w:fldCharType="end"/>
      </w:r>
      <w:r w:rsidRPr="00E03CDA">
        <w:rPr>
          <w:rFonts w:cs="Times New Roman"/>
        </w:rPr>
        <w:t xml:space="preserve">. Primary (T0) transgenic lines were selected on MS </w:t>
      </w:r>
      <w:r w:rsidR="00962D74">
        <w:rPr>
          <w:rFonts w:cs="Times New Roman"/>
        </w:rPr>
        <w:fldChar w:fldCharType="begin" w:fldLock="1"/>
      </w:r>
      <w:r w:rsidR="00F3635C">
        <w:rPr>
          <w:rFonts w:cs="Times New Roman"/>
        </w:rPr>
        <w:instrText>ADDIN CSL_CITATION { "citationItems" : [ { "id" : "ITEM-1", "itemData" : { "author" : [ { "dropping-particle" : "", "family" : "Murashige", "given" : "Toshio", "non-dropping-particle" : "", "parse-names" : false, "suffix" : "" }, { "dropping-particle" : "", "family" : "Skoog", "given" : "Folke", "non-dropping-particle" : "", "parse-names" : false, "suffix" : "" } ], "container-title" : "Physiol Plantarum", "id" : "ITEM-1", "issued" : { "date-parts" : [ [ "1962" ] ] }, "page" : "473-497", "title" : "A revised medium for rapid growth and bioassays with tobacco tissue cultures", "type" : "article-journal", "volume" : "15" }, "uris" : [ "http://www.mendeley.com/documents/?uuid=be5af360-02d6-452b-ab44-2a052e6ebdbe" ] } ], "mendeley" : { "formattedCitation" : "(5)", "plainTextFormattedCitation" : "(5)", "previouslyFormattedCitation" : "(5)" }, "properties" : { "noteIndex" : 0 }, "schema" : "https://github.com/citation-style-language/schema/raw/master/csl-citation.json" }</w:instrText>
      </w:r>
      <w:r w:rsidR="00962D74">
        <w:rPr>
          <w:rFonts w:cs="Times New Roman"/>
        </w:rPr>
        <w:fldChar w:fldCharType="separate"/>
      </w:r>
      <w:r w:rsidR="00F3635C" w:rsidRPr="00F3635C">
        <w:rPr>
          <w:rFonts w:cs="Times New Roman"/>
          <w:noProof/>
        </w:rPr>
        <w:t>(5)</w:t>
      </w:r>
      <w:r w:rsidR="00962D74">
        <w:rPr>
          <w:rFonts w:cs="Times New Roman"/>
        </w:rPr>
        <w:fldChar w:fldCharType="end"/>
      </w:r>
      <w:r w:rsidRPr="00E03CDA">
        <w:rPr>
          <w:rFonts w:cs="Times New Roman"/>
        </w:rPr>
        <w:t xml:space="preserve"> media with </w:t>
      </w:r>
      <w:bookmarkStart w:id="1" w:name="_Hlk492405500"/>
      <w:r w:rsidRPr="00E03CDA">
        <w:rPr>
          <w:rFonts w:cs="Times New Roman"/>
        </w:rPr>
        <w:t xml:space="preserve">100µg/ml </w:t>
      </w:r>
      <w:bookmarkEnd w:id="1"/>
      <w:r w:rsidRPr="00E03CDA">
        <w:rPr>
          <w:rFonts w:cs="Times New Roman"/>
        </w:rPr>
        <w:t xml:space="preserve">Kanamycin, 34µg/ml BASTA </w:t>
      </w:r>
      <w:bookmarkStart w:id="2" w:name="_Hlk492405586"/>
      <w:r w:rsidRPr="00E03CDA">
        <w:rPr>
          <w:rFonts w:cs="Times New Roman"/>
        </w:rPr>
        <w:t xml:space="preserve">and 100µg/ml cefotaxime </w:t>
      </w:r>
      <w:bookmarkEnd w:id="2"/>
      <w:r w:rsidRPr="00E03CDA">
        <w:rPr>
          <w:rFonts w:cs="Times New Roman"/>
        </w:rPr>
        <w:t xml:space="preserve">and screened initially for luciferase expression by spraying 500 µm d-luciferin solution (GOLDBIO) containing 0.01%Tween-20. Homozygous plants were isolated with no segregation for the respective resistance at T3 or T2 generations. For luciferase assay, thirteen days old homozygous lines were transferred to MS media supplemented with </w:t>
      </w:r>
      <w:r w:rsidRPr="00E03CDA">
        <w:rPr>
          <w:rFonts w:cs="Times New Roman"/>
        </w:rPr>
        <w:lastRenderedPageBreak/>
        <w:t xml:space="preserve">corresponding inducers in 100mmx100mm square plates (Fisher Brand, Cat No FB0875711A) and grown vertically under short-day conditions (10 h light/14 h dark) at 22°C growth chamber. </w:t>
      </w:r>
    </w:p>
    <w:p w14:paraId="35CCE5C0" w14:textId="77777777" w:rsidR="006C387F" w:rsidRPr="00E03CDA" w:rsidRDefault="006C387F" w:rsidP="0070770D"/>
    <w:p w14:paraId="0F674E93" w14:textId="77777777" w:rsidR="0070770D" w:rsidRPr="00D8545E" w:rsidRDefault="008B29BB" w:rsidP="0070770D">
      <w:pPr>
        <w:rPr>
          <w:b/>
        </w:rPr>
      </w:pPr>
      <w:r w:rsidRPr="00D8545E">
        <w:rPr>
          <w:b/>
        </w:rPr>
        <w:t xml:space="preserve">Imaging </w:t>
      </w:r>
    </w:p>
    <w:p w14:paraId="093E24E3" w14:textId="77777777" w:rsidR="008B29BB" w:rsidRPr="00E03CDA" w:rsidRDefault="00606F4F" w:rsidP="0070770D">
      <w:pPr>
        <w:rPr>
          <w:rFonts w:cs="Times New Roman"/>
          <w:color w:val="000000" w:themeColor="text1"/>
        </w:rPr>
      </w:pPr>
      <w:r w:rsidRPr="00E03CDA">
        <w:rPr>
          <w:rFonts w:cs="Times New Roman"/>
        </w:rPr>
        <w:t xml:space="preserve">Luciferase activity was </w:t>
      </w:r>
      <w:r w:rsidR="00483340" w:rsidRPr="00E03CDA">
        <w:rPr>
          <w:rFonts w:cs="Times New Roman"/>
        </w:rPr>
        <w:t>measured using low-</w:t>
      </w:r>
      <w:r w:rsidRPr="00E03CDA">
        <w:rPr>
          <w:rFonts w:cs="Times New Roman"/>
        </w:rPr>
        <w:t xml:space="preserve">light imaging with a XR/Mega-10 ICCD camera system (Stanford Photonics, </w:t>
      </w:r>
      <w:proofErr w:type="spellStart"/>
      <w:r w:rsidRPr="00E03CDA">
        <w:rPr>
          <w:rFonts w:cs="Times New Roman"/>
        </w:rPr>
        <w:t>Inc</w:t>
      </w:r>
      <w:proofErr w:type="spellEnd"/>
      <w:r w:rsidRPr="00E03CDA">
        <w:rPr>
          <w:rFonts w:cs="Times New Roman"/>
        </w:rPr>
        <w:t>) and available Piper software (v. 2.6.17) by spraying 500 µm d-luciferin solution (GOLDBIO) containing 0.01%Tween-20 and after a minimum of 30 minutes dark adaptation</w:t>
      </w:r>
      <w:r w:rsidR="005C6E82" w:rsidRPr="00E03CDA">
        <w:rPr>
          <w:rFonts w:cs="Times New Roman"/>
        </w:rPr>
        <w:t xml:space="preserve">. </w:t>
      </w:r>
      <w:r w:rsidRPr="00E03CDA">
        <w:rPr>
          <w:rFonts w:cs="Times New Roman"/>
          <w:color w:val="000000" w:themeColor="text1"/>
        </w:rPr>
        <w:t>To obtain proper plant boundaries for quantification purpose, a colored image was taken by a regular digital camera and a bright-field image was taken by the XR/Mega-10 ICCD camera system right before measuring luciferase activities</w:t>
      </w:r>
      <w:r w:rsidR="00483340" w:rsidRPr="00E03CDA">
        <w:rPr>
          <w:rFonts w:cs="Times New Roman"/>
          <w:color w:val="000000" w:themeColor="text1"/>
        </w:rPr>
        <w:t>, so that the bright-field image contains the same localization of the plants as in the low-light images</w:t>
      </w:r>
      <w:r w:rsidRPr="00E03CDA">
        <w:rPr>
          <w:rFonts w:cs="Times New Roman"/>
          <w:color w:val="000000" w:themeColor="text1"/>
        </w:rPr>
        <w:t xml:space="preserve">. </w:t>
      </w:r>
    </w:p>
    <w:p w14:paraId="3019D6E2" w14:textId="77777777" w:rsidR="008B29BB" w:rsidRPr="00E03CDA" w:rsidRDefault="008B29BB" w:rsidP="0070770D"/>
    <w:p w14:paraId="6A555B57" w14:textId="77777777" w:rsidR="00623413" w:rsidRPr="00D8545E" w:rsidRDefault="00623413" w:rsidP="0070770D">
      <w:pPr>
        <w:rPr>
          <w:b/>
        </w:rPr>
      </w:pPr>
      <w:r w:rsidRPr="00D8545E">
        <w:rPr>
          <w:b/>
        </w:rPr>
        <w:t xml:space="preserve">Image processing </w:t>
      </w:r>
    </w:p>
    <w:p w14:paraId="679DFE22" w14:textId="77777777" w:rsidR="0070770D" w:rsidRPr="00E03CDA" w:rsidRDefault="0070770D" w:rsidP="0070770D">
      <w:r w:rsidRPr="00E03CDA">
        <w:t xml:space="preserve">A custom </w:t>
      </w:r>
      <w:r w:rsidR="00623413" w:rsidRPr="00E03CDA">
        <w:t xml:space="preserve">image processing </w:t>
      </w:r>
      <w:r w:rsidRPr="00E03CDA">
        <w:t xml:space="preserve">software was written in </w:t>
      </w:r>
      <w:proofErr w:type="spellStart"/>
      <w:r w:rsidRPr="00E03CDA">
        <w:t>Matlab</w:t>
      </w:r>
      <w:proofErr w:type="spellEnd"/>
      <w:r w:rsidRPr="00E03CDA">
        <w:t xml:space="preserve">, which combines a series of image-processing steps into a </w:t>
      </w:r>
      <w:r w:rsidR="009A1AB5" w:rsidRPr="00E03CDA">
        <w:t xml:space="preserve">standardized </w:t>
      </w:r>
      <w:r w:rsidRPr="00E03CDA">
        <w:t>workflow. Graphic user interfaces (GUI) and proper instructions were programmed wherever possible, so that a new user could start using the software to quantify imag</w:t>
      </w:r>
      <w:r w:rsidR="009A1AB5" w:rsidRPr="00E03CDA">
        <w:t>es</w:t>
      </w:r>
      <w:r w:rsidRPr="00E03CDA">
        <w:t xml:space="preserve"> almost without training. </w:t>
      </w:r>
      <w:r w:rsidR="009A1AB5" w:rsidRPr="00E03CDA">
        <w:t xml:space="preserve">A detailed </w:t>
      </w:r>
      <w:r w:rsidR="00761624" w:rsidRPr="00E03CDA">
        <w:t xml:space="preserve">step-by-step </w:t>
      </w:r>
      <w:r w:rsidR="009A1AB5" w:rsidRPr="00E03CDA">
        <w:t xml:space="preserve">protocol was also prepared for </w:t>
      </w:r>
      <w:r w:rsidR="00623413" w:rsidRPr="00E03CDA">
        <w:t xml:space="preserve">users’ further </w:t>
      </w:r>
      <w:r w:rsidR="00761624" w:rsidRPr="00E03CDA">
        <w:t xml:space="preserve">references. </w:t>
      </w:r>
      <w:r w:rsidRPr="00E03CDA">
        <w:t>To ensure accuracy of the image processing and reduce possible artifacts caused by variable sources, each step in the workflow is fully supervised by the user.</w:t>
      </w:r>
    </w:p>
    <w:p w14:paraId="332B3CEA" w14:textId="77777777" w:rsidR="00631B17" w:rsidRPr="00E03CDA" w:rsidRDefault="00631B17" w:rsidP="00631B17">
      <w:pPr>
        <w:jc w:val="both"/>
        <w:rPr>
          <w:b/>
        </w:rPr>
      </w:pPr>
    </w:p>
    <w:p w14:paraId="507AC6DC" w14:textId="7D6F6178" w:rsidR="00631B17" w:rsidRPr="00E03CDA" w:rsidRDefault="008B29BB" w:rsidP="00631B17">
      <w:pPr>
        <w:jc w:val="both"/>
      </w:pPr>
      <w:r w:rsidRPr="00E03CDA">
        <w:t xml:space="preserve">In the initiation steps of the software, the classic GUI of selecting files </w:t>
      </w:r>
      <w:r w:rsidR="00C159DB" w:rsidRPr="00E03CDA">
        <w:t>is used</w:t>
      </w:r>
      <w:r w:rsidRPr="00E03CDA">
        <w:t xml:space="preserve"> to let the users select the input images (including a high-resolution color image of the plants taken under optimal lighting conditions </w:t>
      </w:r>
      <w:r w:rsidR="00590E6E" w:rsidRPr="00E03CDA">
        <w:t xml:space="preserve">by a digital camera </w:t>
      </w:r>
      <w:r w:rsidRPr="00E03CDA">
        <w:t xml:space="preserve">and a </w:t>
      </w:r>
      <w:r w:rsidR="00590E6E" w:rsidRPr="00E03CDA">
        <w:t>bright-field</w:t>
      </w:r>
      <w:r w:rsidRPr="00E03CDA">
        <w:t xml:space="preserve"> image collected under the luciferase camera) </w:t>
      </w:r>
      <w:r w:rsidR="00606F4F" w:rsidRPr="00E03CDA">
        <w:t xml:space="preserve">and the input folder containing the </w:t>
      </w:r>
      <w:r w:rsidR="00590E6E" w:rsidRPr="00E03CDA">
        <w:t xml:space="preserve">low-light images of luciferase activities </w:t>
      </w:r>
      <w:r w:rsidR="00721C0F" w:rsidRPr="00E03CDA">
        <w:t xml:space="preserve">collected </w:t>
      </w:r>
      <w:r w:rsidR="00C159DB" w:rsidRPr="00E03CDA">
        <w:t xml:space="preserve">by the luciferase camera. </w:t>
      </w:r>
      <w:r w:rsidR="00631B17" w:rsidRPr="00E03CDA">
        <w:t xml:space="preserve">The software first </w:t>
      </w:r>
      <w:r w:rsidRPr="00E03CDA">
        <w:t>processes</w:t>
      </w:r>
      <w:r w:rsidR="00631B17" w:rsidRPr="00E03CDA">
        <w:t xml:space="preserve"> </w:t>
      </w:r>
      <w:r w:rsidRPr="00E03CDA">
        <w:t>the</w:t>
      </w:r>
      <w:r w:rsidR="00A91AD4" w:rsidRPr="00E03CDA">
        <w:t xml:space="preserve"> high-resolution color image</w:t>
      </w:r>
      <w:r w:rsidR="00631B17" w:rsidRPr="00E03CDA">
        <w:t xml:space="preserve"> </w:t>
      </w:r>
      <w:r w:rsidR="008E23A8" w:rsidRPr="00E03CDA">
        <w:t>(</w:t>
      </w:r>
      <w:r w:rsidR="008E23A8" w:rsidRPr="00E03CDA">
        <w:rPr>
          <w:b/>
        </w:rPr>
        <w:t xml:space="preserve">Figure </w:t>
      </w:r>
      <w:r w:rsidR="00D8545E">
        <w:rPr>
          <w:b/>
        </w:rPr>
        <w:t>1</w:t>
      </w:r>
      <w:r w:rsidR="008E23A8" w:rsidRPr="00E03CDA">
        <w:t xml:space="preserve"> </w:t>
      </w:r>
      <w:r w:rsidR="008E23A8" w:rsidRPr="00E03CDA">
        <w:rPr>
          <w:b/>
        </w:rPr>
        <w:t>a)</w:t>
      </w:r>
      <w:r w:rsidR="00623413" w:rsidRPr="00E03CDA">
        <w:t>.</w:t>
      </w:r>
      <w:r w:rsidR="00826327" w:rsidRPr="00E03CDA">
        <w:t xml:space="preserve"> </w:t>
      </w:r>
      <w:r w:rsidR="00623413" w:rsidRPr="00E03CDA">
        <w:t>R</w:t>
      </w:r>
      <w:r w:rsidR="00631B17" w:rsidRPr="00E03CDA">
        <w:t xml:space="preserve">egion of interests (ROIs) </w:t>
      </w:r>
      <w:r w:rsidR="008F3F82" w:rsidRPr="00E03CDA">
        <w:t>of</w:t>
      </w:r>
      <w:r w:rsidR="00631B17" w:rsidRPr="00E03CDA">
        <w:t xml:space="preserve"> leaves and roots </w:t>
      </w:r>
      <w:r w:rsidR="00F45E4B" w:rsidRPr="00E03CDA">
        <w:t>are</w:t>
      </w:r>
      <w:r w:rsidR="00623413" w:rsidRPr="00E03CDA">
        <w:t xml:space="preserve"> identified</w:t>
      </w:r>
      <w:r w:rsidR="005C6E82" w:rsidRPr="00E03CDA">
        <w:t xml:space="preserve"> in two</w:t>
      </w:r>
      <w:r w:rsidR="00623413" w:rsidRPr="00E03CDA">
        <w:t xml:space="preserve"> </w:t>
      </w:r>
      <w:r w:rsidR="005C6E82" w:rsidRPr="00E03CDA">
        <w:t>separate steps</w:t>
      </w:r>
      <w:r w:rsidR="00631B17" w:rsidRPr="00E03CDA">
        <w:t xml:space="preserve"> through user-supervised color thresholding</w:t>
      </w:r>
      <w:r w:rsidR="008E23A8" w:rsidRPr="00E03CDA">
        <w:t xml:space="preserve">, where the user is able to adjust the threshold using a sliding bar till the thresholding level of satisfaction. </w:t>
      </w:r>
      <w:r w:rsidR="00631B17" w:rsidRPr="00E03CDA">
        <w:t xml:space="preserve">An image registration step is then carried out between the high resolution and the bright-field images obtained by the luciferase camera by user defined control points (n ≥ </w:t>
      </w:r>
      <w:r w:rsidR="00717505" w:rsidRPr="00E03CDA">
        <w:t>3</w:t>
      </w:r>
      <w:r w:rsidR="00631B17" w:rsidRPr="00E03CDA">
        <w:t>) (</w:t>
      </w:r>
      <w:r w:rsidR="00631B17" w:rsidRPr="00E03CDA">
        <w:rPr>
          <w:b/>
        </w:rPr>
        <w:t xml:space="preserve">Figure </w:t>
      </w:r>
      <w:r w:rsidR="00D8545E">
        <w:rPr>
          <w:b/>
        </w:rPr>
        <w:t>1</w:t>
      </w:r>
      <w:r w:rsidR="00826327" w:rsidRPr="00E03CDA">
        <w:rPr>
          <w:b/>
        </w:rPr>
        <w:t xml:space="preserve"> </w:t>
      </w:r>
      <w:r w:rsidR="00631B17" w:rsidRPr="00E03CDA">
        <w:rPr>
          <w:b/>
        </w:rPr>
        <w:t>b)</w:t>
      </w:r>
      <w:r w:rsidR="00631B17" w:rsidRPr="00E03CDA">
        <w:t xml:space="preserve">. </w:t>
      </w:r>
      <w:r w:rsidR="00717505" w:rsidRPr="00E03CDA">
        <w:t xml:space="preserve">More control points may improve the accuracy of this step but we found the improvement beyond 3 control points is trivial. </w:t>
      </w:r>
      <w:r w:rsidR="00631B17" w:rsidRPr="00E03CDA">
        <w:t>This step provides the necessary information about the orientation, spatial shift and scaling to align the ROIs properly to the bright-field image</w:t>
      </w:r>
      <w:r w:rsidR="00717505" w:rsidRPr="00E03CDA">
        <w:t xml:space="preserve"> and the low-light image</w:t>
      </w:r>
      <w:r w:rsidR="00631B17" w:rsidRPr="00E03CDA">
        <w:t xml:space="preserve">. After the alignment, the ROIs are grouped by the user into individual plants. As shown in </w:t>
      </w:r>
      <w:r w:rsidR="00631B17" w:rsidRPr="00E03CDA">
        <w:rPr>
          <w:b/>
        </w:rPr>
        <w:t xml:space="preserve">Figure </w:t>
      </w:r>
      <w:r w:rsidR="00D8545E">
        <w:rPr>
          <w:b/>
        </w:rPr>
        <w:t>1</w:t>
      </w:r>
      <w:r w:rsidR="00826327" w:rsidRPr="00E03CDA">
        <w:rPr>
          <w:b/>
        </w:rPr>
        <w:t xml:space="preserve"> </w:t>
      </w:r>
      <w:r w:rsidR="00631B17" w:rsidRPr="00E03CDA">
        <w:rPr>
          <w:b/>
        </w:rPr>
        <w:t>c-d</w:t>
      </w:r>
      <w:r w:rsidR="00631B17" w:rsidRPr="00E03CDA">
        <w:t>, lea</w:t>
      </w:r>
      <w:r w:rsidR="00717505" w:rsidRPr="00E03CDA">
        <w:t>ves</w:t>
      </w:r>
      <w:r w:rsidR="00631B17" w:rsidRPr="00E03CDA">
        <w:t xml:space="preserve"> ROIs 1, 2 and 3 were assigned to plant indexed as 1, 2 and 3 respectively. Similarly, roots ROIs 1 and 2 were assigned to plants 1, ROI 3 </w:t>
      </w:r>
      <w:r w:rsidR="00717505" w:rsidRPr="00E03CDA">
        <w:t>to plant 2 and</w:t>
      </w:r>
      <w:r w:rsidR="00631B17" w:rsidRPr="00E03CDA">
        <w:t xml:space="preserve"> ROIs 4 and 5 to plant 3. In the next step, the ROIs of leaves and roots of individual plants are applied to the </w:t>
      </w:r>
      <w:r w:rsidR="00717505" w:rsidRPr="00E03CDA">
        <w:t xml:space="preserve">low-light images of </w:t>
      </w:r>
      <w:r w:rsidR="00631B17" w:rsidRPr="00E03CDA">
        <w:t xml:space="preserve">luciferase </w:t>
      </w:r>
      <w:r w:rsidR="00717505" w:rsidRPr="00E03CDA">
        <w:t>activities</w:t>
      </w:r>
      <w:r w:rsidR="00631B17" w:rsidRPr="00E03CDA">
        <w:t xml:space="preserve"> and several pixel-based measurements are carried out and recorded for further analysis (</w:t>
      </w:r>
      <w:r w:rsidR="00631B17" w:rsidRPr="00E03CDA">
        <w:rPr>
          <w:b/>
        </w:rPr>
        <w:t xml:space="preserve">Figure </w:t>
      </w:r>
      <w:r w:rsidR="00D8545E">
        <w:rPr>
          <w:b/>
        </w:rPr>
        <w:t>1</w:t>
      </w:r>
      <w:r w:rsidR="00631B17" w:rsidRPr="00E03CDA">
        <w:t xml:space="preserve"> </w:t>
      </w:r>
      <w:r w:rsidR="00631B17" w:rsidRPr="00E03CDA">
        <w:rPr>
          <w:b/>
        </w:rPr>
        <w:t>e-f)</w:t>
      </w:r>
      <w:r w:rsidR="00631B17" w:rsidRPr="00E03CDA">
        <w:t xml:space="preserve">. These measurements of leaf and root ROIs include areas in number of pixels, total </w:t>
      </w:r>
      <w:r w:rsidR="00717505" w:rsidRPr="00E03CDA">
        <w:t xml:space="preserve">luminescence </w:t>
      </w:r>
      <w:r w:rsidR="00631B17" w:rsidRPr="00E03CDA">
        <w:t xml:space="preserve">intensity levels and a </w:t>
      </w:r>
      <w:r w:rsidR="00717505" w:rsidRPr="00E03CDA">
        <w:t>complete list of intensity level</w:t>
      </w:r>
      <w:r w:rsidR="00631B17" w:rsidRPr="00E03CDA">
        <w:t xml:space="preserve"> per pixel. </w:t>
      </w:r>
    </w:p>
    <w:p w14:paraId="112BB7BF" w14:textId="77777777" w:rsidR="00631B17" w:rsidRPr="00E03CDA" w:rsidRDefault="00631B17" w:rsidP="00631B17">
      <w:pPr>
        <w:jc w:val="both"/>
      </w:pPr>
    </w:p>
    <w:p w14:paraId="5534DB59" w14:textId="77777777" w:rsidR="00631B17" w:rsidRPr="00E03CDA" w:rsidRDefault="00631B17" w:rsidP="00631B17">
      <w:pPr>
        <w:jc w:val="both"/>
      </w:pPr>
      <w:r w:rsidRPr="00E03CDA">
        <w:rPr>
          <w:noProof/>
        </w:rPr>
        <w:drawing>
          <wp:inline distT="0" distB="0" distL="0" distR="0" wp14:anchorId="3B320531" wp14:editId="08FDF3A8">
            <wp:extent cx="5189838" cy="59791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Processing.tif"/>
                    <pic:cNvPicPr/>
                  </pic:nvPicPr>
                  <pic:blipFill>
                    <a:blip r:embed="rId6">
                      <a:extLst>
                        <a:ext uri="{28A0092B-C50C-407E-A947-70E740481C1C}">
                          <a14:useLocalDpi xmlns:a14="http://schemas.microsoft.com/office/drawing/2010/main" val="0"/>
                        </a:ext>
                      </a:extLst>
                    </a:blip>
                    <a:stretch>
                      <a:fillRect/>
                    </a:stretch>
                  </pic:blipFill>
                  <pic:spPr>
                    <a:xfrm>
                      <a:off x="0" y="0"/>
                      <a:ext cx="5199328" cy="5990058"/>
                    </a:xfrm>
                    <a:prstGeom prst="rect">
                      <a:avLst/>
                    </a:prstGeom>
                  </pic:spPr>
                </pic:pic>
              </a:graphicData>
            </a:graphic>
          </wp:inline>
        </w:drawing>
      </w:r>
    </w:p>
    <w:p w14:paraId="67CFD1AD" w14:textId="77777777" w:rsidR="00631B17" w:rsidRPr="00E03CDA" w:rsidRDefault="00631B17" w:rsidP="00631B17">
      <w:pPr>
        <w:jc w:val="both"/>
      </w:pPr>
    </w:p>
    <w:p w14:paraId="2AABCCB7" w14:textId="1C87D140" w:rsidR="00631B17" w:rsidRPr="00E03CDA" w:rsidRDefault="00631B17" w:rsidP="00631B17">
      <w:pPr>
        <w:jc w:val="both"/>
      </w:pPr>
      <w:r w:rsidRPr="00E03CDA">
        <w:rPr>
          <w:b/>
        </w:rPr>
        <w:t xml:space="preserve">Figure </w:t>
      </w:r>
      <w:r w:rsidR="00D8545E">
        <w:rPr>
          <w:b/>
        </w:rPr>
        <w:t>1</w:t>
      </w:r>
      <w:r w:rsidRPr="00E03CDA">
        <w:rPr>
          <w:b/>
        </w:rPr>
        <w:t>.</w:t>
      </w:r>
      <w:r w:rsidRPr="00E03CDA">
        <w:t xml:space="preserve"> Whole plant image processing. </w:t>
      </w:r>
      <w:r w:rsidRPr="00E03CDA">
        <w:rPr>
          <w:b/>
        </w:rPr>
        <w:t>a</w:t>
      </w:r>
      <w:r w:rsidRPr="00E03CDA">
        <w:t xml:space="preserve">, High resolution color image collected using a regular digital camera under well controlled lighting conditions prior to the luciferase imaging, which was used for color thresholding and identifying the region of interests (ROIs) of leaves and roots for individual plants. </w:t>
      </w:r>
      <w:r w:rsidRPr="00E03CDA">
        <w:rPr>
          <w:b/>
        </w:rPr>
        <w:t>b</w:t>
      </w:r>
      <w:r w:rsidRPr="00E03CDA">
        <w:t xml:space="preserve">, Bright-field image collected </w:t>
      </w:r>
      <w:r w:rsidRPr="00E03CDA">
        <w:rPr>
          <w:i/>
        </w:rPr>
        <w:t>in situ</w:t>
      </w:r>
      <w:r w:rsidRPr="00E03CDA">
        <w:t xml:space="preserve"> under the luciferase camera, which was used to align the ROIs obtained from </w:t>
      </w:r>
      <w:r w:rsidRPr="00E03CDA">
        <w:rPr>
          <w:b/>
        </w:rPr>
        <w:t>a</w:t>
      </w:r>
      <w:r w:rsidRPr="00E03CDA">
        <w:t xml:space="preserve">). It should be noted that there are differences in resolution, orientation and lighting conditions between </w:t>
      </w:r>
      <w:r w:rsidRPr="00E03CDA">
        <w:rPr>
          <w:b/>
        </w:rPr>
        <w:t>a)</w:t>
      </w:r>
      <w:r w:rsidRPr="00E03CDA">
        <w:t xml:space="preserve"> and </w:t>
      </w:r>
      <w:r w:rsidRPr="00E03CDA">
        <w:rPr>
          <w:b/>
        </w:rPr>
        <w:t>b</w:t>
      </w:r>
      <w:r w:rsidRPr="00E03CDA">
        <w:t xml:space="preserve">). </w:t>
      </w:r>
      <w:r w:rsidRPr="00E03CDA">
        <w:rPr>
          <w:b/>
        </w:rPr>
        <w:t>c-d</w:t>
      </w:r>
      <w:r w:rsidRPr="00E03CDA">
        <w:t xml:space="preserve">, ROIs of leaves and roots aligned with the bright-field image with ROIs indexed spatially. </w:t>
      </w:r>
      <w:r w:rsidRPr="00E03CDA">
        <w:rPr>
          <w:b/>
        </w:rPr>
        <w:t>e-f</w:t>
      </w:r>
      <w:r w:rsidRPr="00E03CDA">
        <w:t xml:space="preserve">, ROIs of leaves and roots applied to the </w:t>
      </w:r>
      <w:bookmarkStart w:id="3" w:name="OLE_LINK1"/>
      <w:bookmarkStart w:id="4" w:name="OLE_LINK2"/>
      <w:r w:rsidRPr="00E03CDA">
        <w:t xml:space="preserve">luminescence </w:t>
      </w:r>
      <w:bookmarkEnd w:id="3"/>
      <w:bookmarkEnd w:id="4"/>
      <w:r w:rsidRPr="00E03CDA">
        <w:t xml:space="preserve">images with their luminescence data recorded. The two </w:t>
      </w:r>
      <w:proofErr w:type="spellStart"/>
      <w:r w:rsidR="00623413" w:rsidRPr="00E03CDA">
        <w:t>heatmaps</w:t>
      </w:r>
      <w:proofErr w:type="spellEnd"/>
      <w:r w:rsidR="00623413" w:rsidRPr="00E03CDA">
        <w:t xml:space="preserve"> were made using a same scale and color </w:t>
      </w:r>
      <w:r w:rsidRPr="00E03CDA">
        <w:t xml:space="preserve">map. </w:t>
      </w:r>
    </w:p>
    <w:p w14:paraId="7789E1C2" w14:textId="77777777" w:rsidR="00B44B96" w:rsidRPr="00E03CDA" w:rsidRDefault="00B44B96"/>
    <w:p w14:paraId="7FA6CEC7" w14:textId="77777777" w:rsidR="005C6E82" w:rsidRPr="00E03CDA" w:rsidRDefault="00B44B96" w:rsidP="008A4D5E">
      <w:pPr>
        <w:rPr>
          <w:b/>
        </w:rPr>
      </w:pPr>
      <w:r w:rsidRPr="00E03CDA">
        <w:rPr>
          <w:b/>
        </w:rPr>
        <w:t xml:space="preserve">Results </w:t>
      </w:r>
    </w:p>
    <w:p w14:paraId="3D579983" w14:textId="77777777" w:rsidR="00B44B96" w:rsidRPr="00E03CDA" w:rsidRDefault="00B44B96">
      <w:pPr>
        <w:rPr>
          <w:b/>
        </w:rPr>
      </w:pPr>
      <w:r w:rsidRPr="00E03CDA">
        <w:rPr>
          <w:b/>
        </w:rPr>
        <w:t xml:space="preserve">Differences between the luminescent levels </w:t>
      </w:r>
      <w:r w:rsidR="00A84DEA" w:rsidRPr="00E03CDA">
        <w:rPr>
          <w:b/>
        </w:rPr>
        <w:t xml:space="preserve">across </w:t>
      </w:r>
      <w:r w:rsidR="00786AE5" w:rsidRPr="00E03CDA">
        <w:rPr>
          <w:b/>
        </w:rPr>
        <w:t xml:space="preserve">leaves and roots </w:t>
      </w:r>
    </w:p>
    <w:p w14:paraId="41CEC154" w14:textId="77777777" w:rsidR="00E53871" w:rsidRPr="00E03CDA" w:rsidRDefault="00C74A56">
      <w:r w:rsidRPr="00E03CDA">
        <w:rPr>
          <w:noProof/>
        </w:rPr>
        <w:drawing>
          <wp:inline distT="0" distB="0" distL="0" distR="0" wp14:anchorId="4424277A" wp14:editId="3A0B49A3">
            <wp:extent cx="5943600" cy="5018405"/>
            <wp:effectExtent l="0" t="0" r="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 XXX.tiff"/>
                    <pic:cNvPicPr/>
                  </pic:nvPicPr>
                  <pic:blipFill>
                    <a:blip r:embed="rId7">
                      <a:extLst>
                        <a:ext uri="{28A0092B-C50C-407E-A947-70E740481C1C}">
                          <a14:useLocalDpi xmlns:a14="http://schemas.microsoft.com/office/drawing/2010/main" val="0"/>
                        </a:ext>
                      </a:extLst>
                    </a:blip>
                    <a:stretch>
                      <a:fillRect/>
                    </a:stretch>
                  </pic:blipFill>
                  <pic:spPr>
                    <a:xfrm>
                      <a:off x="0" y="0"/>
                      <a:ext cx="5943600" cy="5018405"/>
                    </a:xfrm>
                    <a:prstGeom prst="rect">
                      <a:avLst/>
                    </a:prstGeom>
                  </pic:spPr>
                </pic:pic>
              </a:graphicData>
            </a:graphic>
          </wp:inline>
        </w:drawing>
      </w:r>
    </w:p>
    <w:p w14:paraId="33DB7F6B" w14:textId="5BA69252" w:rsidR="008A4D5E" w:rsidRPr="00E03CDA" w:rsidRDefault="008A4D5E" w:rsidP="008A4D5E">
      <w:r w:rsidRPr="00D5270D">
        <w:rPr>
          <w:b/>
        </w:rPr>
        <w:t xml:space="preserve">Figure </w:t>
      </w:r>
      <w:r w:rsidR="00D8545E" w:rsidRPr="00D5270D">
        <w:rPr>
          <w:b/>
        </w:rPr>
        <w:t>2</w:t>
      </w:r>
      <w:r w:rsidRPr="00D5270D">
        <w:rPr>
          <w:b/>
        </w:rPr>
        <w:t>.</w:t>
      </w:r>
      <w:r w:rsidRPr="00E03CDA">
        <w:t xml:space="preserve"> Different gene expression levels in difference tissue types in plants. A-B) </w:t>
      </w:r>
      <w:proofErr w:type="spellStart"/>
      <w:r w:rsidRPr="00E03CDA">
        <w:t>Heatmaps</w:t>
      </w:r>
      <w:proofErr w:type="spellEnd"/>
      <w:r w:rsidRPr="00E03CDA">
        <w:t xml:space="preserve"> of luciferase activities. Green lines mark out the boundaries of leaves and yellow lines the roots. Luciferase activities </w:t>
      </w:r>
      <w:r w:rsidR="00EB67B7" w:rsidRPr="00E03CDA">
        <w:t xml:space="preserve">are represented by the brightness of the red color, with the brighter color indicating higher luciferase activities and the white color the saturation. C-F) Histograms of luminescence intensity per pixel. x-axis is the natural logarithmic of the luminescence intensity per pixel and the y-axis the frequency. </w:t>
      </w:r>
    </w:p>
    <w:p w14:paraId="434EC8A9" w14:textId="77777777" w:rsidR="008A4D5E" w:rsidRPr="00E03CDA" w:rsidRDefault="008A4D5E"/>
    <w:p w14:paraId="4074D0AA" w14:textId="61C7A6E4" w:rsidR="008A4D5E" w:rsidRPr="00E03CDA" w:rsidRDefault="00EB67B7" w:rsidP="00EB67B7">
      <w:pPr>
        <w:jc w:val="both"/>
      </w:pPr>
      <w:r w:rsidRPr="00E03CDA">
        <w:t>Similar to</w:t>
      </w:r>
      <w:r w:rsidR="008A4D5E" w:rsidRPr="00E03CDA">
        <w:t xml:space="preserve"> </w:t>
      </w:r>
      <w:r w:rsidRPr="00E03CDA">
        <w:t>what was</w:t>
      </w:r>
      <w:r w:rsidR="008A4D5E" w:rsidRPr="00E03CDA">
        <w:t xml:space="preserve"> reported in a previous study</w:t>
      </w:r>
      <w:r w:rsidR="00251169">
        <w:t xml:space="preserve"> </w:t>
      </w:r>
      <w:r w:rsidR="00251169">
        <w:fldChar w:fldCharType="begin" w:fldLock="1"/>
      </w:r>
      <w:r w:rsidR="00F3635C">
        <w:instrText>ADDIN CSL_CITATION { "citationItems" : [ { "id" : "ITEM-1", "itemData" : { "ISSN" : "1548-7091", "abstract" : "Plant synthetic biology promises immense technological benefits, including the potential development of a sustainable bio-based economy through the predictive design of synthetic gene circuits. Such circuits are built from quantitatively characterized genetic parts; however, this characterization is a significant obstacle in work with plants because of the time required for stable transformation. We describe a method for rapid quantitative characterization of genetic plant parts using transient expression in protoplasts and dual luciferase outputs. We observed experimental variability in transient-expression assays and developed a mathematical model to describe, as well as statistical normalization methods to account for, this variability, which allowed us to extract quantitative parameters. We characterized &gt;120 synthetic parts in Arabidopsis and validated our method by comparing transient expression with expression in stably transformed plants. We also tested &gt;100 synthetic parts in sorghum (Sorghum bicolor) protoplasts, and the results showed that our method works in diverse plant groups. Our approach enables the construction of tunable gene circuits in complex eukaryotic organisms.", "author" : [ { "dropping-particle" : "", "family" : "Schaumberg", "given" : "Katherine A", "non-dropping-particle" : "", "parse-names" : false, "suffix" : "" }, { "dropping-particle" : "", "family" : "Antunes", "given" : "Mauricio S", "non-dropping-particle" : "", "parse-names" : false, "suffix" : "" }, { "dropping-particle" : "", "family" : "Kassaw", "given" : "Tessema K", "non-dropping-particle" : "", "parse-names" : false, "suffix" : "" }, { "dropping-particle" : "", "family" : "Xu", "given" : "Wenlong", "non-dropping-particle" : "", "parse-names" : false, "suffix" : "" }, { "dropping-particle" : "", "family" : "Zalewski", "given" : "Christopher S", "non-dropping-particle" : "", "parse-names" : false, "suffix" : "" }, { "dropping-particle" : "", "family" : "Medford", "given" : "June I", "non-dropping-particle" : "", "parse-names" : false, "suffix" : "" }, { "dropping-particle" : "", "family" : "Prasad", "given" : "Ashok", "non-dropping-particle" : "", "parse-names" : false, "suffix" : "" } ], "container-title" : "Nat Meth", "id" : "ITEM-1", "issue" : "1", "issued" : { "date-parts" : [ [ "2016", "1" ] ] }, "page" : "94-100", "publisher" : "Nature Publishing Group, a division of Macmillan Publishers Limited. All Rights Reserved.", "title" : "Quantitative characterization of genetic parts and circuits for plant synthetic biology", "type" : "article-journal", "volume" : "13" }, "uris" : [ "http://www.mendeley.com/documents/?uuid=e7a4c85e-ab95-4dd2-82aa-db319a905cc7" ] } ], "mendeley" : { "formattedCitation" : "(6)", "plainTextFormattedCitation" : "(6)", "previouslyFormattedCitation" : "(6)" }, "properties" : { "noteIndex" : 0 }, "schema" : "https://github.com/citation-style-language/schema/raw/master/csl-citation.json" }</w:instrText>
      </w:r>
      <w:r w:rsidR="00251169">
        <w:fldChar w:fldCharType="separate"/>
      </w:r>
      <w:r w:rsidR="00F3635C" w:rsidRPr="00F3635C">
        <w:rPr>
          <w:noProof/>
        </w:rPr>
        <w:t>(6)</w:t>
      </w:r>
      <w:r w:rsidR="00251169">
        <w:fldChar w:fldCharType="end"/>
      </w:r>
      <w:r w:rsidR="008A4D5E" w:rsidRPr="00E03CDA">
        <w:t>, the distribution</w:t>
      </w:r>
      <w:r w:rsidR="00516791" w:rsidRPr="00E03CDA">
        <w:t>s</w:t>
      </w:r>
      <w:r w:rsidR="008A4D5E" w:rsidRPr="00E03CDA">
        <w:t xml:space="preserve"> of luciferase luminescence per tissue of an individual plant was </w:t>
      </w:r>
      <w:r w:rsidRPr="00E03CDA">
        <w:t xml:space="preserve">also </w:t>
      </w:r>
      <w:r w:rsidR="008A4D5E" w:rsidRPr="00E03CDA">
        <w:t xml:space="preserve">found to be </w:t>
      </w:r>
      <w:r w:rsidR="00132D63" w:rsidRPr="00E03CDA">
        <w:t>better</w:t>
      </w:r>
      <w:r w:rsidR="008A4D5E" w:rsidRPr="00E03CDA">
        <w:t xml:space="preserve"> described by lognormal distribution</w:t>
      </w:r>
      <w:r w:rsidR="00516791" w:rsidRPr="00E03CDA">
        <w:t>s</w:t>
      </w:r>
      <w:r w:rsidR="008A4D5E" w:rsidRPr="00E03CDA">
        <w:t xml:space="preserve"> (</w:t>
      </w:r>
      <w:r w:rsidR="008A4D5E" w:rsidRPr="00E03CDA">
        <w:rPr>
          <w:i/>
        </w:rPr>
        <w:t>i.e.</w:t>
      </w:r>
      <w:r w:rsidR="008A4D5E" w:rsidRPr="00E03CDA">
        <w:t xml:space="preserve"> a Gaussian distribution after a logarithmic transformation)</w:t>
      </w:r>
      <w:r w:rsidR="00516791" w:rsidRPr="00E03CDA">
        <w:t xml:space="preserve"> than Gaussian distributions</w:t>
      </w:r>
      <w:r w:rsidR="008A4D5E" w:rsidRPr="00E03CDA">
        <w:t xml:space="preserve">. </w:t>
      </w:r>
      <w:r w:rsidRPr="00E03CDA">
        <w:t xml:space="preserve">This can be seen in the histograms in Figure </w:t>
      </w:r>
      <w:r w:rsidR="00D8545E">
        <w:t>2</w:t>
      </w:r>
      <w:r w:rsidRPr="00E03CDA">
        <w:t xml:space="preserve"> C-F). </w:t>
      </w:r>
      <w:r w:rsidR="008B4A8D" w:rsidRPr="00E03CDA">
        <w:t xml:space="preserve">This helped us develop </w:t>
      </w:r>
      <w:r w:rsidR="003D3736" w:rsidRPr="00E03CDA">
        <w:t>more accurate</w:t>
      </w:r>
      <w:r w:rsidR="008B4A8D" w:rsidRPr="00E03CDA">
        <w:t xml:space="preserve"> statistical summaries for the whole plant luminescence data. </w:t>
      </w:r>
      <w:r w:rsidR="003D3736" w:rsidRPr="00E03CDA">
        <w:t>The</w:t>
      </w:r>
      <w:r w:rsidR="008B4A8D" w:rsidRPr="00E03CDA">
        <w:t xml:space="preserve"> </w:t>
      </w:r>
      <w:proofErr w:type="spellStart"/>
      <w:r w:rsidR="008B4A8D" w:rsidRPr="00E03CDA">
        <w:t>exponentiated</w:t>
      </w:r>
      <w:proofErr w:type="spellEnd"/>
      <w:r w:rsidR="008B4A8D" w:rsidRPr="00E03CDA">
        <w:t xml:space="preserve"> mean of log</w:t>
      </w:r>
      <w:r w:rsidR="003D3736" w:rsidRPr="00E03CDA">
        <w:t>arithmic</w:t>
      </w:r>
      <w:r w:rsidR="008B4A8D" w:rsidRPr="00E03CDA">
        <w:t xml:space="preserve"> transformed data is more accurate than the direct mean, </w:t>
      </w:r>
      <w:r w:rsidR="003D3736" w:rsidRPr="00E03CDA">
        <w:t>which</w:t>
      </w:r>
      <w:r w:rsidR="008B4A8D" w:rsidRPr="00E03CDA">
        <w:t xml:space="preserve"> tends to overestimate the mean due to the heavy tail of the distribution. It is </w:t>
      </w:r>
      <w:r w:rsidR="003D3736" w:rsidRPr="00E03CDA">
        <w:t>the same</w:t>
      </w:r>
      <w:r w:rsidR="008B4A8D" w:rsidRPr="00E03CDA">
        <w:t xml:space="preserve"> for standard deviation. This knowledge also leads to more accurate calculation of important summarizing parameters, like the fold change between distributions before and after induction. </w:t>
      </w:r>
      <w:r w:rsidR="003D3736" w:rsidRPr="00E03CDA">
        <w:t>Furthermore, we can also determine a</w:t>
      </w:r>
      <w:r w:rsidR="008B4A8D" w:rsidRPr="00E03CDA">
        <w:t xml:space="preserve"> </w:t>
      </w:r>
      <w:r w:rsidR="003D3736" w:rsidRPr="00E03CDA">
        <w:t>more accurate statistical test</w:t>
      </w:r>
      <w:r w:rsidR="008B4A8D" w:rsidRPr="00E03CDA">
        <w:t xml:space="preserve"> for the </w:t>
      </w:r>
      <w:r w:rsidR="003D3736" w:rsidRPr="00E03CDA">
        <w:t>fold change as 2-sample t-test on the logarithmic scale, as the division of lognormally distributed variables is still lognormally distributed</w:t>
      </w:r>
      <w:r w:rsidR="008B4A8D" w:rsidRPr="00E03CDA">
        <w:t xml:space="preserve">. </w:t>
      </w:r>
    </w:p>
    <w:p w14:paraId="48FB29F7" w14:textId="77777777" w:rsidR="002F37BD" w:rsidRPr="00E03CDA" w:rsidRDefault="002F37BD" w:rsidP="00EB67B7">
      <w:pPr>
        <w:jc w:val="both"/>
      </w:pPr>
    </w:p>
    <w:p w14:paraId="4070596E" w14:textId="233968ED" w:rsidR="00042BFA" w:rsidRPr="00E03CDA" w:rsidRDefault="00042BFA" w:rsidP="00EB67B7">
      <w:pPr>
        <w:jc w:val="both"/>
      </w:pPr>
      <w:r w:rsidRPr="00E03CDA">
        <w:t xml:space="preserve">We </w:t>
      </w:r>
      <w:r w:rsidR="003D3736" w:rsidRPr="00E03CDA">
        <w:t xml:space="preserve">also </w:t>
      </w:r>
      <w:r w:rsidRPr="00E03CDA">
        <w:t xml:space="preserve">observed drastic differences in </w:t>
      </w:r>
      <w:r w:rsidR="003D3736" w:rsidRPr="00E03CDA">
        <w:t>reporter</w:t>
      </w:r>
      <w:r w:rsidRPr="00E03CDA">
        <w:t xml:space="preserve"> expression levels of the same synthetic circuit between leaves and roots. Visually, the luciferase activities shown in the leaves are much dimmer than the roots, which are close to saturation in all the ROI</w:t>
      </w:r>
      <w:r w:rsidR="00B22624" w:rsidRPr="00E03CDA">
        <w:t xml:space="preserve"> (Figure </w:t>
      </w:r>
      <w:r w:rsidR="00D8545E">
        <w:t>2</w:t>
      </w:r>
      <w:r w:rsidR="00B22624" w:rsidRPr="00E03CDA">
        <w:t xml:space="preserve"> panel B))</w:t>
      </w:r>
      <w:r w:rsidRPr="00E03CDA">
        <w:t>.</w:t>
      </w:r>
      <w:r w:rsidR="00755191" w:rsidRPr="00E03CDA">
        <w:t xml:space="preserve"> Quantitatively, the histogram of luminescence intensity of the roots is significantly right-shifted compared to the leaves, and </w:t>
      </w:r>
      <w:r w:rsidRPr="00E03CDA">
        <w:t xml:space="preserve">the </w:t>
      </w:r>
      <w:r w:rsidR="00755191" w:rsidRPr="00E03CDA">
        <w:t xml:space="preserve">mean </w:t>
      </w:r>
      <w:r w:rsidRPr="00E03CDA">
        <w:t xml:space="preserve">expression level in roots is more than 20-times higher than the one </w:t>
      </w:r>
      <w:r w:rsidR="00755191" w:rsidRPr="00E03CDA">
        <w:t>of</w:t>
      </w:r>
      <w:r w:rsidRPr="00E03CDA">
        <w:t xml:space="preserve"> leaves</w:t>
      </w:r>
      <w:r w:rsidR="00B22624" w:rsidRPr="00E03CDA">
        <w:t xml:space="preserve"> (Figure </w:t>
      </w:r>
      <w:r w:rsidR="00D8545E">
        <w:t>2</w:t>
      </w:r>
      <w:r w:rsidR="00B22624" w:rsidRPr="00E03CDA">
        <w:t xml:space="preserve"> panel E-F))</w:t>
      </w:r>
      <w:r w:rsidRPr="00E03CDA">
        <w:t xml:space="preserve">. </w:t>
      </w:r>
    </w:p>
    <w:p w14:paraId="12AE372D" w14:textId="77777777" w:rsidR="008A4D5E" w:rsidRPr="00E03CDA" w:rsidRDefault="008A4D5E"/>
    <w:p w14:paraId="40877C42" w14:textId="77777777" w:rsidR="00B44B96" w:rsidRPr="00E03CDA" w:rsidRDefault="00B44B96">
      <w:pPr>
        <w:rPr>
          <w:b/>
        </w:rPr>
      </w:pPr>
      <w:r w:rsidRPr="00E03CDA">
        <w:rPr>
          <w:b/>
        </w:rPr>
        <w:t xml:space="preserve">Quantify the growth rates </w:t>
      </w:r>
    </w:p>
    <w:p w14:paraId="0896FB06" w14:textId="1522B19A" w:rsidR="00E53871" w:rsidRPr="00E03CDA" w:rsidRDefault="00836D90">
      <w:r>
        <w:rPr>
          <w:noProof/>
        </w:rPr>
        <w:drawing>
          <wp:inline distT="0" distB="0" distL="0" distR="0" wp14:anchorId="6F0411DF" wp14:editId="26175AD1">
            <wp:extent cx="5943600" cy="2343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3.tiff"/>
                    <pic:cNvPicPr/>
                  </pic:nvPicPr>
                  <pic:blipFill>
                    <a:blip r:embed="rId8">
                      <a:extLst>
                        <a:ext uri="{28A0092B-C50C-407E-A947-70E740481C1C}">
                          <a14:useLocalDpi xmlns:a14="http://schemas.microsoft.com/office/drawing/2010/main" val="0"/>
                        </a:ext>
                      </a:extLst>
                    </a:blip>
                    <a:stretch>
                      <a:fillRect/>
                    </a:stretch>
                  </pic:blipFill>
                  <pic:spPr>
                    <a:xfrm>
                      <a:off x="0" y="0"/>
                      <a:ext cx="5943600" cy="2343785"/>
                    </a:xfrm>
                    <a:prstGeom prst="rect">
                      <a:avLst/>
                    </a:prstGeom>
                  </pic:spPr>
                </pic:pic>
              </a:graphicData>
            </a:graphic>
          </wp:inline>
        </w:drawing>
      </w:r>
    </w:p>
    <w:p w14:paraId="2328BD7E" w14:textId="115CCBF3" w:rsidR="00E53871" w:rsidRPr="00E03CDA" w:rsidRDefault="00E53871">
      <w:r w:rsidRPr="00836D90">
        <w:rPr>
          <w:b/>
        </w:rPr>
        <w:t xml:space="preserve">Figure </w:t>
      </w:r>
      <w:r w:rsidR="00D8545E" w:rsidRPr="00836D90">
        <w:rPr>
          <w:b/>
        </w:rPr>
        <w:t>3</w:t>
      </w:r>
      <w:r w:rsidRPr="00836D90">
        <w:rPr>
          <w:b/>
        </w:rPr>
        <w:t>.</w:t>
      </w:r>
      <w:r w:rsidRPr="00E03CDA">
        <w:t xml:space="preserve"> Growth rate </w:t>
      </w:r>
      <w:r w:rsidR="00B700AC" w:rsidRPr="00E03CDA">
        <w:t xml:space="preserve">of four plants measured separately in terms of the </w:t>
      </w:r>
      <w:r w:rsidR="00836D90">
        <w:t xml:space="preserve">(A) </w:t>
      </w:r>
      <w:r w:rsidR="00B700AC" w:rsidRPr="00E03CDA">
        <w:t xml:space="preserve">leaves and </w:t>
      </w:r>
      <w:r w:rsidR="00836D90">
        <w:t xml:space="preserve">(B) </w:t>
      </w:r>
      <w:r w:rsidR="00B700AC" w:rsidRPr="00E03CDA">
        <w:t xml:space="preserve">roots. x-axis indicates the </w:t>
      </w:r>
      <w:r w:rsidR="00BE3C54">
        <w:t>time</w:t>
      </w:r>
      <w:r w:rsidR="00B700AC" w:rsidRPr="00E03CDA">
        <w:t xml:space="preserve"> of measurements</w:t>
      </w:r>
      <w:r w:rsidR="00BE3C54">
        <w:t xml:space="preserve"> in unit of days</w:t>
      </w:r>
      <w:r w:rsidR="00B700AC" w:rsidRPr="00E03CDA">
        <w:t>. y-axis indicates the natural logarithmic of the normalized tissue size</w:t>
      </w:r>
      <w:r w:rsidR="00836D90">
        <w:t>s</w:t>
      </w:r>
      <w:r w:rsidR="00B700AC" w:rsidRPr="00E03CDA">
        <w:t xml:space="preserve">. The size of different tissues of each plant was firstly normalized by </w:t>
      </w:r>
      <w:r w:rsidR="00836D90">
        <w:t>that</w:t>
      </w:r>
      <w:r w:rsidR="00B700AC" w:rsidRPr="00E03CDA">
        <w:t xml:space="preserve"> of the first day and then taken the natural logarithmic. Dashed lines are experimental data and the solid lines are linear fit</w:t>
      </w:r>
      <w:r w:rsidR="003A05E9" w:rsidRPr="00E03CDA">
        <w:t>s</w:t>
      </w:r>
      <w:r w:rsidR="00B700AC" w:rsidRPr="00E03CDA">
        <w:t xml:space="preserve">. </w:t>
      </w:r>
    </w:p>
    <w:p w14:paraId="6CFA59F8" w14:textId="77777777" w:rsidR="003A05E9" w:rsidRPr="00E03CDA" w:rsidRDefault="003A05E9"/>
    <w:p w14:paraId="5B5A7F12" w14:textId="1F771A01" w:rsidR="003A05E9" w:rsidRPr="00E03CDA" w:rsidRDefault="003A05E9">
      <w:r w:rsidRPr="00E03CDA">
        <w:t xml:space="preserve">Using the information of the </w:t>
      </w:r>
      <w:r w:rsidR="00753C04" w:rsidRPr="00E03CDA">
        <w:t xml:space="preserve">tissue </w:t>
      </w:r>
      <w:r w:rsidRPr="00E03CDA">
        <w:t>ROIs collect</w:t>
      </w:r>
      <w:r w:rsidR="00753C04" w:rsidRPr="00E03CDA">
        <w:t>ed in the image processing step, the plant</w:t>
      </w:r>
      <w:r w:rsidR="001B5561" w:rsidRPr="00E03CDA">
        <w:t xml:space="preserve"> growth can also be quantified in terms of pixel numbers. With the calibration information of length per pixel, </w:t>
      </w:r>
      <w:r w:rsidR="005038E8" w:rsidRPr="00E03CDA">
        <w:t>physical units</w:t>
      </w:r>
      <w:r w:rsidR="001B5561" w:rsidRPr="00E03CDA">
        <w:t xml:space="preserve"> can be recovered. </w:t>
      </w:r>
    </w:p>
    <w:p w14:paraId="63FAB191" w14:textId="705E561D" w:rsidR="00755191" w:rsidRPr="00E03CDA" w:rsidRDefault="005038E8">
      <w:r w:rsidRPr="00E03CDA">
        <w:t>We can model the growth of one tissue using</w:t>
      </w:r>
      <w:r w:rsidR="00755191" w:rsidRPr="00E03CDA">
        <w:t xml:space="preserve"> a </w:t>
      </w:r>
      <w:r w:rsidRPr="00E03CDA">
        <w:t xml:space="preserve">first order growth model as: </w:t>
      </w:r>
    </w:p>
    <w:p w14:paraId="606A0146" w14:textId="767C8216" w:rsidR="005038E8" w:rsidRPr="00E03CDA" w:rsidRDefault="00F7583A">
      <w:pPr>
        <w:rPr>
          <w:lang w:eastAsia="zh-CN"/>
        </w:rPr>
      </w:pPr>
      <m:oMathPara>
        <m:oMath>
          <m:f>
            <m:fPr>
              <m:ctrlPr>
                <w:rPr>
                  <w:rFonts w:ascii="Cambria Math" w:hAnsi="Cambria Math"/>
                  <w:i/>
                  <w:lang w:eastAsia="zh-CN"/>
                </w:rPr>
              </m:ctrlPr>
            </m:fPr>
            <m:num>
              <m:r>
                <w:rPr>
                  <w:rFonts w:ascii="Cambria Math" w:hAnsi="Cambria Math"/>
                  <w:lang w:eastAsia="zh-CN"/>
                </w:rPr>
                <m:t>dS</m:t>
              </m:r>
            </m:num>
            <m:den>
              <m:r>
                <w:rPr>
                  <w:rFonts w:ascii="Cambria Math" w:hAnsi="Cambria Math"/>
                  <w:lang w:eastAsia="zh-CN"/>
                </w:rPr>
                <m:t>dt</m:t>
              </m:r>
            </m:den>
          </m:f>
          <m:r>
            <w:rPr>
              <w:rFonts w:ascii="Cambria Math" w:hAnsi="Cambria Math"/>
              <w:lang w:eastAsia="zh-CN"/>
            </w:rPr>
            <m:t>=γS</m:t>
          </m:r>
        </m:oMath>
      </m:oMathPara>
    </w:p>
    <w:p w14:paraId="484FEA41" w14:textId="0F6D94C0" w:rsidR="002370AF" w:rsidRPr="00E03CDA" w:rsidRDefault="005038E8">
      <w:pPr>
        <w:rPr>
          <w:rFonts w:eastAsiaTheme="minorEastAsia"/>
          <w:lang w:eastAsia="zh-CN"/>
        </w:rPr>
      </w:pPr>
      <w:r w:rsidRPr="00E03CDA">
        <w:t xml:space="preserve">where the S indicates the size of a tissue (leaves or roots), t the time and </w:t>
      </w:r>
      <m:oMath>
        <m:r>
          <w:rPr>
            <w:rFonts w:ascii="Cambria Math" w:hAnsi="Cambria Math"/>
            <w:lang w:eastAsia="zh-CN"/>
          </w:rPr>
          <m:t>γ</m:t>
        </m:r>
      </m:oMath>
      <w:r w:rsidRPr="00E03CDA">
        <w:rPr>
          <w:rFonts w:eastAsiaTheme="minorEastAsia"/>
          <w:lang w:eastAsia="zh-CN"/>
        </w:rPr>
        <w:t xml:space="preserve"> the growth rate. The solution to this simple ODE is: </w:t>
      </w:r>
    </w:p>
    <w:p w14:paraId="3C6525F2" w14:textId="1BE5B54C" w:rsidR="005038E8" w:rsidRPr="00E03CDA" w:rsidRDefault="005038E8">
      <m:oMathPara>
        <m:oMath>
          <m:r>
            <w:rPr>
              <w:rFonts w:ascii="Cambria Math" w:hAnsi="Cambria Math"/>
              <w:lang w:eastAsia="zh-CN"/>
            </w:rPr>
            <m:t>S=</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γ</m:t>
              </m:r>
              <m:r>
                <w:rPr>
                  <w:rFonts w:ascii="Cambria Math" w:hAnsi="Cambria Math"/>
                  <w:lang w:eastAsia="zh-CN"/>
                </w:rPr>
                <m:t>t</m:t>
              </m:r>
            </m:sup>
          </m:sSup>
        </m:oMath>
      </m:oMathPara>
    </w:p>
    <w:p w14:paraId="21978778" w14:textId="7557B35B" w:rsidR="005038E8" w:rsidRPr="00E03CDA" w:rsidRDefault="005038E8">
      <w:r w:rsidRPr="00E03CDA">
        <w:t>where the S</w:t>
      </w:r>
      <w:r w:rsidRPr="00E03CDA">
        <w:rPr>
          <w:vertAlign w:val="subscript"/>
        </w:rPr>
        <w:t>0</w:t>
      </w:r>
      <w:r w:rsidRPr="00E03CDA">
        <w:t xml:space="preserve"> indicates the initial size of the tissue at t = 0. A straightforward algebra manipulation can be done as: </w:t>
      </w:r>
    </w:p>
    <w:p w14:paraId="6E1A8CD8" w14:textId="4B61C2D1" w:rsidR="005038E8" w:rsidRPr="00E03CDA" w:rsidRDefault="00F7583A">
      <m:oMathPara>
        <m:oMath>
          <m:func>
            <m:funcPr>
              <m:ctrlPr>
                <w:rPr>
                  <w:rFonts w:ascii="Cambria Math" w:hAnsi="Cambria Math"/>
                  <w:i/>
                  <w:lang w:eastAsia="zh-CN"/>
                </w:rPr>
              </m:ctrlPr>
            </m:funcPr>
            <m:fName>
              <m:r>
                <m:rPr>
                  <m:sty m:val="p"/>
                </m:rPr>
                <w:rPr>
                  <w:rFonts w:ascii="Cambria Math" w:hAnsi="Cambria Math"/>
                  <w:lang w:eastAsia="zh-CN"/>
                </w:rPr>
                <m:t>ln</m:t>
              </m:r>
            </m:fName>
            <m:e>
              <m:f>
                <m:fPr>
                  <m:ctrlPr>
                    <w:rPr>
                      <w:rFonts w:ascii="Cambria Math" w:hAnsi="Cambria Math"/>
                      <w:i/>
                      <w:lang w:eastAsia="zh-CN"/>
                    </w:rPr>
                  </m:ctrlPr>
                </m:fPr>
                <m:num>
                  <m:r>
                    <w:rPr>
                      <w:rFonts w:ascii="Cambria Math" w:hAnsi="Cambria Math"/>
                      <w:lang w:eastAsia="zh-CN"/>
                    </w:rPr>
                    <m:t>S</m:t>
                  </m:r>
                </m:num>
                <m:den>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den>
              </m:f>
            </m:e>
          </m:func>
          <m:r>
            <w:rPr>
              <w:rFonts w:ascii="Cambria Math" w:hAnsi="Cambria Math"/>
              <w:lang w:eastAsia="zh-CN"/>
            </w:rPr>
            <m:t>=γt</m:t>
          </m:r>
        </m:oMath>
      </m:oMathPara>
    </w:p>
    <w:p w14:paraId="48E78626" w14:textId="485608A6" w:rsidR="005038E8" w:rsidRDefault="005038E8">
      <w:r w:rsidRPr="00E03CDA">
        <w:t xml:space="preserve">Therefore, a linear curve is expected if the tissue sizes normalized by their initial sizes are plotted in a logarithmic scale against the time. This is exactly what we observed in Figure </w:t>
      </w:r>
      <w:r w:rsidR="00D8545E">
        <w:t>3</w:t>
      </w:r>
      <w:r w:rsidRPr="00E03CDA">
        <w:t xml:space="preserve">, where the growth curves are approximately linear. By fitting to a linear model with zero y-intercept, the growth rate </w:t>
      </w:r>
      <w:r w:rsidR="0089553F" w:rsidRPr="00E03CDA">
        <w:t xml:space="preserve">constant </w:t>
      </w:r>
      <w:r w:rsidRPr="00E03CDA">
        <w:t xml:space="preserve">can be estimated as the semi-logarithmic slope. </w:t>
      </w:r>
      <w:r w:rsidR="0089553F" w:rsidRPr="00E03CDA">
        <w:t>This</w:t>
      </w:r>
      <w:r w:rsidRPr="00E03CDA">
        <w:t xml:space="preserve"> </w:t>
      </w:r>
      <w:r w:rsidR="00BE3C54">
        <w:t>simple growth</w:t>
      </w:r>
      <w:r w:rsidRPr="00E03CDA">
        <w:t xml:space="preserve"> model </w:t>
      </w:r>
      <w:r w:rsidR="0089553F" w:rsidRPr="00E03CDA">
        <w:t>applies</w:t>
      </w:r>
      <w:r w:rsidRPr="00E03CDA">
        <w:t xml:space="preserve"> relatively </w:t>
      </w:r>
      <w:r w:rsidR="008E06D6">
        <w:t>well</w:t>
      </w:r>
      <w:r w:rsidRPr="00E03CDA">
        <w:t xml:space="preserve"> for</w:t>
      </w:r>
      <w:r w:rsidR="008E06D6">
        <w:t xml:space="preserve"> both</w:t>
      </w:r>
      <w:r w:rsidRPr="00E03CDA">
        <w:t xml:space="preserve"> leaves </w:t>
      </w:r>
      <w:r w:rsidR="008E06D6">
        <w:t>and</w:t>
      </w:r>
      <w:r w:rsidRPr="00E03CDA">
        <w:t xml:space="preserve"> roots</w:t>
      </w:r>
      <w:r w:rsidR="00836D90">
        <w:t xml:space="preserve"> (Table 1)</w:t>
      </w:r>
      <w:r w:rsidRPr="00E03CDA">
        <w:t>.</w:t>
      </w:r>
      <w:r w:rsidR="00E03CDA" w:rsidRPr="00E03CDA">
        <w:t xml:space="preserve"> </w:t>
      </w:r>
      <w:r w:rsidR="00BE3C54">
        <w:t xml:space="preserve">The measured mean growth rate of roots (0.2999 </w:t>
      </w:r>
      <w:r w:rsidR="00BE3C54">
        <w:rPr>
          <w:rFonts w:ascii="Calibri" w:hAnsi="Calibri"/>
        </w:rPr>
        <w:t>±</w:t>
      </w:r>
      <w:r w:rsidR="00BE3C54">
        <w:t xml:space="preserve"> 0.0448 day</w:t>
      </w:r>
      <w:r w:rsidR="00BE3C54" w:rsidRPr="00BE3C54">
        <w:rPr>
          <w:vertAlign w:val="superscript"/>
        </w:rPr>
        <w:t>-1</w:t>
      </w:r>
      <w:r w:rsidR="00BE3C54">
        <w:t xml:space="preserve">, as mean </w:t>
      </w:r>
      <w:r w:rsidR="00BE3C54">
        <w:rPr>
          <w:rFonts w:ascii="Calibri" w:hAnsi="Calibri"/>
        </w:rPr>
        <w:t>± standard deviation</w:t>
      </w:r>
      <w:r w:rsidR="00BE3C54">
        <w:t xml:space="preserve">) is faster than that of leaves (0.1845 </w:t>
      </w:r>
      <w:r w:rsidR="00BE3C54">
        <w:rPr>
          <w:rFonts w:ascii="Calibri" w:hAnsi="Calibri"/>
        </w:rPr>
        <w:t xml:space="preserve">± </w:t>
      </w:r>
      <w:r w:rsidR="00BE3C54">
        <w:t>0.0208 day</w:t>
      </w:r>
      <w:r w:rsidR="00BE3C54" w:rsidRPr="00BE3C54">
        <w:rPr>
          <w:vertAlign w:val="superscript"/>
        </w:rPr>
        <w:t>-1</w:t>
      </w:r>
      <w:r w:rsidR="00BE3C54">
        <w:t xml:space="preserve">). </w:t>
      </w:r>
    </w:p>
    <w:p w14:paraId="3C145E6F" w14:textId="77777777" w:rsidR="006D49A0" w:rsidRDefault="006D49A0"/>
    <w:p w14:paraId="7477901A" w14:textId="727C6523" w:rsidR="006D49A0" w:rsidRPr="00BE3C54" w:rsidRDefault="006D49A0">
      <w:r w:rsidRPr="00836D90">
        <w:rPr>
          <w:b/>
        </w:rPr>
        <w:t xml:space="preserve">Table 1. </w:t>
      </w:r>
      <w:r w:rsidR="002D406F" w:rsidRPr="00836D90">
        <w:rPr>
          <w:b/>
        </w:rPr>
        <w:t xml:space="preserve">Linear fitting results </w:t>
      </w:r>
      <w:r w:rsidR="00836D90" w:rsidRPr="00836D90">
        <w:rPr>
          <w:b/>
        </w:rPr>
        <w:t xml:space="preserve">to the plant growth data </w:t>
      </w:r>
      <w:r w:rsidR="002D406F" w:rsidRPr="00836D90">
        <w:rPr>
          <w:b/>
        </w:rPr>
        <w:t xml:space="preserve">shown in Figure 3. </w:t>
      </w:r>
      <w:r w:rsidR="0010628E" w:rsidRPr="00BE3C54">
        <w:t>Fitting resu</w:t>
      </w:r>
      <w:r w:rsidR="00DA69D3" w:rsidRPr="00BE3C54">
        <w:t xml:space="preserve">lts are color-coded according to Figure 3. </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D40B7" w14:paraId="64022AA8" w14:textId="77777777" w:rsidTr="006D40B7">
        <w:tc>
          <w:tcPr>
            <w:tcW w:w="1335" w:type="dxa"/>
            <w:vAlign w:val="center"/>
          </w:tcPr>
          <w:p w14:paraId="6B507693" w14:textId="29B943C9" w:rsidR="006D40B7" w:rsidRDefault="006D40B7" w:rsidP="006D40B7">
            <w:pPr>
              <w:jc w:val="center"/>
            </w:pPr>
            <w:r>
              <w:t>Tissue</w:t>
            </w:r>
          </w:p>
        </w:tc>
        <w:tc>
          <w:tcPr>
            <w:tcW w:w="4007" w:type="dxa"/>
            <w:gridSpan w:val="3"/>
            <w:vAlign w:val="center"/>
          </w:tcPr>
          <w:p w14:paraId="36333FFD" w14:textId="5E193450" w:rsidR="006D40B7" w:rsidRDefault="006D40B7" w:rsidP="006D40B7">
            <w:pPr>
              <w:jc w:val="center"/>
            </w:pPr>
            <w:r>
              <w:t>Leaves</w:t>
            </w:r>
          </w:p>
        </w:tc>
        <w:tc>
          <w:tcPr>
            <w:tcW w:w="4008" w:type="dxa"/>
            <w:gridSpan w:val="3"/>
            <w:vAlign w:val="center"/>
          </w:tcPr>
          <w:p w14:paraId="4BE9D0F5" w14:textId="07F8CD43" w:rsidR="006D40B7" w:rsidRDefault="006D40B7" w:rsidP="006D40B7">
            <w:pPr>
              <w:jc w:val="center"/>
            </w:pPr>
            <w:r>
              <w:t>Roots</w:t>
            </w:r>
          </w:p>
        </w:tc>
      </w:tr>
      <w:tr w:rsidR="006D40B7" w14:paraId="6EAC452B" w14:textId="77777777" w:rsidTr="006D40B7">
        <w:tc>
          <w:tcPr>
            <w:tcW w:w="1335" w:type="dxa"/>
            <w:vAlign w:val="center"/>
          </w:tcPr>
          <w:p w14:paraId="73080F95" w14:textId="422B5F33" w:rsidR="006D40B7" w:rsidRDefault="006D40B7" w:rsidP="006D40B7">
            <w:pPr>
              <w:jc w:val="center"/>
            </w:pPr>
            <w:r>
              <w:t>Plant Index</w:t>
            </w:r>
          </w:p>
        </w:tc>
        <w:tc>
          <w:tcPr>
            <w:tcW w:w="1335" w:type="dxa"/>
            <w:vAlign w:val="center"/>
          </w:tcPr>
          <w:p w14:paraId="174AC0E4" w14:textId="14EFFE26" w:rsidR="006D40B7" w:rsidRPr="00836D90" w:rsidRDefault="006D40B7" w:rsidP="006D40B7">
            <w:pPr>
              <w:jc w:val="center"/>
              <w:rPr>
                <w:color w:val="FF0000"/>
              </w:rPr>
            </w:pPr>
            <w:r w:rsidRPr="00836D90">
              <w:rPr>
                <w:color w:val="FF0000"/>
              </w:rPr>
              <w:t>10</w:t>
            </w:r>
          </w:p>
        </w:tc>
        <w:tc>
          <w:tcPr>
            <w:tcW w:w="1336" w:type="dxa"/>
            <w:vAlign w:val="center"/>
          </w:tcPr>
          <w:p w14:paraId="29D6A4C0" w14:textId="55F5AA61" w:rsidR="006D40B7" w:rsidRPr="00836D90" w:rsidRDefault="006D40B7" w:rsidP="006D40B7">
            <w:pPr>
              <w:jc w:val="center"/>
              <w:rPr>
                <w:color w:val="00B050"/>
              </w:rPr>
            </w:pPr>
            <w:r w:rsidRPr="00836D90">
              <w:rPr>
                <w:color w:val="00B050"/>
              </w:rPr>
              <w:t>11</w:t>
            </w:r>
          </w:p>
        </w:tc>
        <w:tc>
          <w:tcPr>
            <w:tcW w:w="1336" w:type="dxa"/>
            <w:vAlign w:val="center"/>
          </w:tcPr>
          <w:p w14:paraId="2A7B1CE3" w14:textId="4C963C61" w:rsidR="006D40B7" w:rsidRPr="00836D90" w:rsidRDefault="006D40B7" w:rsidP="006D40B7">
            <w:pPr>
              <w:jc w:val="center"/>
              <w:rPr>
                <w:color w:val="0070C0"/>
              </w:rPr>
            </w:pPr>
            <w:r w:rsidRPr="00836D90">
              <w:rPr>
                <w:color w:val="0070C0"/>
              </w:rPr>
              <w:t>12</w:t>
            </w:r>
          </w:p>
        </w:tc>
        <w:tc>
          <w:tcPr>
            <w:tcW w:w="1336" w:type="dxa"/>
            <w:vAlign w:val="center"/>
          </w:tcPr>
          <w:p w14:paraId="501000B6" w14:textId="3A9739B8" w:rsidR="006D40B7" w:rsidRPr="00836D90" w:rsidRDefault="006D40B7" w:rsidP="006D40B7">
            <w:pPr>
              <w:jc w:val="center"/>
              <w:rPr>
                <w:color w:val="FF0000"/>
              </w:rPr>
            </w:pPr>
            <w:r w:rsidRPr="00836D90">
              <w:rPr>
                <w:color w:val="FF0000"/>
              </w:rPr>
              <w:t>10</w:t>
            </w:r>
          </w:p>
        </w:tc>
        <w:tc>
          <w:tcPr>
            <w:tcW w:w="1336" w:type="dxa"/>
            <w:vAlign w:val="center"/>
          </w:tcPr>
          <w:p w14:paraId="10F83491" w14:textId="568E1192" w:rsidR="006D40B7" w:rsidRPr="00836D90" w:rsidRDefault="006D40B7" w:rsidP="006D40B7">
            <w:pPr>
              <w:jc w:val="center"/>
              <w:rPr>
                <w:color w:val="00B050"/>
              </w:rPr>
            </w:pPr>
            <w:r w:rsidRPr="00836D90">
              <w:rPr>
                <w:color w:val="00B050"/>
              </w:rPr>
              <w:t>11</w:t>
            </w:r>
          </w:p>
        </w:tc>
        <w:tc>
          <w:tcPr>
            <w:tcW w:w="1336" w:type="dxa"/>
            <w:vAlign w:val="center"/>
          </w:tcPr>
          <w:p w14:paraId="1D05481D" w14:textId="2345040E" w:rsidR="006D40B7" w:rsidRPr="00836D90" w:rsidRDefault="006D40B7" w:rsidP="006D40B7">
            <w:pPr>
              <w:jc w:val="center"/>
              <w:rPr>
                <w:color w:val="0070C0"/>
              </w:rPr>
            </w:pPr>
            <w:r w:rsidRPr="00836D90">
              <w:rPr>
                <w:color w:val="0070C0"/>
              </w:rPr>
              <w:t>12</w:t>
            </w:r>
          </w:p>
        </w:tc>
      </w:tr>
      <w:tr w:rsidR="006D40B7" w14:paraId="0FBFA273" w14:textId="77777777" w:rsidTr="006D40B7">
        <w:tc>
          <w:tcPr>
            <w:tcW w:w="1335" w:type="dxa"/>
            <w:vAlign w:val="center"/>
          </w:tcPr>
          <w:p w14:paraId="61E66B25" w14:textId="345D6A5D" w:rsidR="006D40B7" w:rsidRDefault="006D40B7" w:rsidP="006D40B7">
            <w:pPr>
              <w:jc w:val="center"/>
            </w:pPr>
            <w:r>
              <w:t>R2</w:t>
            </w:r>
          </w:p>
        </w:tc>
        <w:tc>
          <w:tcPr>
            <w:tcW w:w="1335" w:type="dxa"/>
            <w:vAlign w:val="center"/>
          </w:tcPr>
          <w:p w14:paraId="5FA95344" w14:textId="38D82E75" w:rsidR="006D40B7" w:rsidRPr="00836D90" w:rsidRDefault="006D40B7" w:rsidP="006D40B7">
            <w:pPr>
              <w:jc w:val="center"/>
              <w:rPr>
                <w:color w:val="FF0000"/>
              </w:rPr>
            </w:pPr>
            <w:r w:rsidRPr="00836D90">
              <w:rPr>
                <w:color w:val="FF0000"/>
              </w:rPr>
              <w:t>0.9967</w:t>
            </w:r>
          </w:p>
        </w:tc>
        <w:tc>
          <w:tcPr>
            <w:tcW w:w="1336" w:type="dxa"/>
            <w:vAlign w:val="center"/>
          </w:tcPr>
          <w:p w14:paraId="7DEC35F6" w14:textId="587B1BF0" w:rsidR="006D40B7" w:rsidRPr="00836D90" w:rsidRDefault="006D40B7" w:rsidP="006D40B7">
            <w:pPr>
              <w:jc w:val="center"/>
              <w:rPr>
                <w:color w:val="00B050"/>
              </w:rPr>
            </w:pPr>
            <w:r w:rsidRPr="00836D90">
              <w:rPr>
                <w:color w:val="00B050"/>
              </w:rPr>
              <w:t>0.9960</w:t>
            </w:r>
          </w:p>
        </w:tc>
        <w:tc>
          <w:tcPr>
            <w:tcW w:w="1336" w:type="dxa"/>
            <w:vAlign w:val="center"/>
          </w:tcPr>
          <w:p w14:paraId="69DF0B89" w14:textId="05EBB370" w:rsidR="006D40B7" w:rsidRPr="00836D90" w:rsidRDefault="006D40B7" w:rsidP="006D40B7">
            <w:pPr>
              <w:jc w:val="center"/>
              <w:rPr>
                <w:color w:val="0070C0"/>
              </w:rPr>
            </w:pPr>
            <w:r w:rsidRPr="00836D90">
              <w:rPr>
                <w:color w:val="0070C0"/>
              </w:rPr>
              <w:t>0.9981</w:t>
            </w:r>
          </w:p>
        </w:tc>
        <w:tc>
          <w:tcPr>
            <w:tcW w:w="1336" w:type="dxa"/>
            <w:vAlign w:val="center"/>
          </w:tcPr>
          <w:p w14:paraId="2CCA79A3" w14:textId="20026A11" w:rsidR="006D40B7" w:rsidRPr="00836D90" w:rsidRDefault="006D40B7" w:rsidP="006D40B7">
            <w:pPr>
              <w:jc w:val="center"/>
              <w:rPr>
                <w:color w:val="FF0000"/>
              </w:rPr>
            </w:pPr>
            <w:r w:rsidRPr="00836D90">
              <w:rPr>
                <w:color w:val="FF0000"/>
              </w:rPr>
              <w:t>0.9488</w:t>
            </w:r>
          </w:p>
        </w:tc>
        <w:tc>
          <w:tcPr>
            <w:tcW w:w="1336" w:type="dxa"/>
            <w:vAlign w:val="center"/>
          </w:tcPr>
          <w:p w14:paraId="6EA92725" w14:textId="17ABCE8B" w:rsidR="006D40B7" w:rsidRPr="00836D90" w:rsidRDefault="006D40B7" w:rsidP="006D40B7">
            <w:pPr>
              <w:jc w:val="center"/>
              <w:rPr>
                <w:color w:val="00B050"/>
              </w:rPr>
            </w:pPr>
            <w:r w:rsidRPr="00836D90">
              <w:rPr>
                <w:color w:val="00B050"/>
              </w:rPr>
              <w:t>0.9726</w:t>
            </w:r>
          </w:p>
        </w:tc>
        <w:tc>
          <w:tcPr>
            <w:tcW w:w="1336" w:type="dxa"/>
            <w:vAlign w:val="center"/>
          </w:tcPr>
          <w:p w14:paraId="6A4FBAD6" w14:textId="351F5F19" w:rsidR="006D40B7" w:rsidRPr="00836D90" w:rsidRDefault="006D40B7" w:rsidP="006D40B7">
            <w:pPr>
              <w:jc w:val="center"/>
              <w:rPr>
                <w:color w:val="0070C0"/>
              </w:rPr>
            </w:pPr>
            <w:r w:rsidRPr="00836D90">
              <w:rPr>
                <w:color w:val="0070C0"/>
              </w:rPr>
              <w:t>0.9892</w:t>
            </w:r>
          </w:p>
        </w:tc>
      </w:tr>
      <w:tr w:rsidR="006D40B7" w14:paraId="6DC51BA9" w14:textId="77777777" w:rsidTr="006D40B7">
        <w:tc>
          <w:tcPr>
            <w:tcW w:w="1335" w:type="dxa"/>
            <w:vAlign w:val="center"/>
          </w:tcPr>
          <w:p w14:paraId="45C7CF2C" w14:textId="6EE741E7" w:rsidR="006D40B7" w:rsidRDefault="006D40B7" w:rsidP="006D40B7">
            <w:pPr>
              <w:jc w:val="center"/>
            </w:pPr>
            <w:r>
              <w:t>Slope</w:t>
            </w:r>
          </w:p>
        </w:tc>
        <w:tc>
          <w:tcPr>
            <w:tcW w:w="1335" w:type="dxa"/>
            <w:vAlign w:val="center"/>
          </w:tcPr>
          <w:p w14:paraId="1D63AA12" w14:textId="3E4F7CB8" w:rsidR="006D40B7" w:rsidRPr="00836D90" w:rsidRDefault="006D40B7" w:rsidP="006D40B7">
            <w:pPr>
              <w:jc w:val="center"/>
              <w:rPr>
                <w:color w:val="FF0000"/>
              </w:rPr>
            </w:pPr>
            <w:r w:rsidRPr="00836D90">
              <w:rPr>
                <w:color w:val="FF0000"/>
              </w:rPr>
              <w:t>0.1874</w:t>
            </w:r>
          </w:p>
        </w:tc>
        <w:tc>
          <w:tcPr>
            <w:tcW w:w="1336" w:type="dxa"/>
            <w:vAlign w:val="center"/>
          </w:tcPr>
          <w:p w14:paraId="13803B46" w14:textId="0A707F0E" w:rsidR="006D40B7" w:rsidRPr="00836D90" w:rsidRDefault="006D40B7" w:rsidP="006D40B7">
            <w:pPr>
              <w:jc w:val="center"/>
              <w:rPr>
                <w:color w:val="00B050"/>
              </w:rPr>
            </w:pPr>
            <w:r w:rsidRPr="00836D90">
              <w:rPr>
                <w:color w:val="00B050"/>
              </w:rPr>
              <w:t>0.1623</w:t>
            </w:r>
          </w:p>
        </w:tc>
        <w:tc>
          <w:tcPr>
            <w:tcW w:w="1336" w:type="dxa"/>
            <w:vAlign w:val="center"/>
          </w:tcPr>
          <w:p w14:paraId="396EB1E4" w14:textId="18C6F842" w:rsidR="006D40B7" w:rsidRPr="00836D90" w:rsidRDefault="006D40B7" w:rsidP="006D40B7">
            <w:pPr>
              <w:jc w:val="center"/>
              <w:rPr>
                <w:color w:val="0070C0"/>
              </w:rPr>
            </w:pPr>
            <w:r w:rsidRPr="00836D90">
              <w:rPr>
                <w:color w:val="0070C0"/>
              </w:rPr>
              <w:t>0.2037</w:t>
            </w:r>
          </w:p>
        </w:tc>
        <w:tc>
          <w:tcPr>
            <w:tcW w:w="1336" w:type="dxa"/>
            <w:vAlign w:val="center"/>
          </w:tcPr>
          <w:p w14:paraId="66AB39EA" w14:textId="0F900931" w:rsidR="006D40B7" w:rsidRPr="00836D90" w:rsidRDefault="006D40B7" w:rsidP="006D40B7">
            <w:pPr>
              <w:jc w:val="center"/>
              <w:rPr>
                <w:color w:val="FF0000"/>
              </w:rPr>
            </w:pPr>
            <w:r w:rsidRPr="00836D90">
              <w:rPr>
                <w:color w:val="FF0000"/>
              </w:rPr>
              <w:t>0.3026</w:t>
            </w:r>
          </w:p>
        </w:tc>
        <w:tc>
          <w:tcPr>
            <w:tcW w:w="1336" w:type="dxa"/>
            <w:vAlign w:val="center"/>
          </w:tcPr>
          <w:p w14:paraId="51D9A7CA" w14:textId="23BD5EBD" w:rsidR="006D40B7" w:rsidRPr="00836D90" w:rsidRDefault="006D40B7" w:rsidP="006D40B7">
            <w:pPr>
              <w:jc w:val="center"/>
              <w:rPr>
                <w:color w:val="00B050"/>
              </w:rPr>
            </w:pPr>
            <w:r w:rsidRPr="00836D90">
              <w:rPr>
                <w:color w:val="00B050"/>
              </w:rPr>
              <w:t>0.2538</w:t>
            </w:r>
          </w:p>
        </w:tc>
        <w:tc>
          <w:tcPr>
            <w:tcW w:w="1336" w:type="dxa"/>
            <w:vAlign w:val="center"/>
          </w:tcPr>
          <w:p w14:paraId="2606CBCC" w14:textId="32E84C82" w:rsidR="006D40B7" w:rsidRPr="00836D90" w:rsidRDefault="006D40B7" w:rsidP="006D40B7">
            <w:pPr>
              <w:jc w:val="center"/>
              <w:rPr>
                <w:color w:val="0070C0"/>
              </w:rPr>
            </w:pPr>
            <w:r w:rsidRPr="00836D90">
              <w:rPr>
                <w:color w:val="0070C0"/>
              </w:rPr>
              <w:t>0.3433</w:t>
            </w:r>
          </w:p>
        </w:tc>
      </w:tr>
      <w:tr w:rsidR="006D40B7" w14:paraId="3E0429F9" w14:textId="77777777" w:rsidTr="006D40B7">
        <w:tc>
          <w:tcPr>
            <w:tcW w:w="1335" w:type="dxa"/>
            <w:vAlign w:val="center"/>
          </w:tcPr>
          <w:p w14:paraId="3DC31855" w14:textId="35BC0A39" w:rsidR="006D40B7" w:rsidRDefault="006D40B7" w:rsidP="006D40B7">
            <w:pPr>
              <w:jc w:val="center"/>
            </w:pPr>
            <w:r>
              <w:t>y-intercept</w:t>
            </w:r>
          </w:p>
        </w:tc>
        <w:tc>
          <w:tcPr>
            <w:tcW w:w="1335" w:type="dxa"/>
            <w:vAlign w:val="center"/>
          </w:tcPr>
          <w:p w14:paraId="00894B20" w14:textId="242EA9FC" w:rsidR="006D40B7" w:rsidRPr="00836D90" w:rsidRDefault="006D40B7" w:rsidP="006D40B7">
            <w:pPr>
              <w:jc w:val="center"/>
              <w:rPr>
                <w:color w:val="FF0000"/>
              </w:rPr>
            </w:pPr>
            <w:r w:rsidRPr="00836D90">
              <w:rPr>
                <w:color w:val="FF0000"/>
              </w:rPr>
              <w:t>-0.0259</w:t>
            </w:r>
          </w:p>
        </w:tc>
        <w:tc>
          <w:tcPr>
            <w:tcW w:w="1336" w:type="dxa"/>
            <w:vAlign w:val="center"/>
          </w:tcPr>
          <w:p w14:paraId="2E13C0BA" w14:textId="2D3BF041" w:rsidR="006D40B7" w:rsidRPr="00836D90" w:rsidRDefault="006D40B7" w:rsidP="006D40B7">
            <w:pPr>
              <w:jc w:val="center"/>
              <w:rPr>
                <w:color w:val="00B050"/>
              </w:rPr>
            </w:pPr>
            <w:r w:rsidRPr="00836D90">
              <w:rPr>
                <w:color w:val="00B050"/>
              </w:rPr>
              <w:t>-0.0203</w:t>
            </w:r>
          </w:p>
        </w:tc>
        <w:tc>
          <w:tcPr>
            <w:tcW w:w="1336" w:type="dxa"/>
            <w:vAlign w:val="center"/>
          </w:tcPr>
          <w:p w14:paraId="46D55898" w14:textId="6F7CC0EE" w:rsidR="006D40B7" w:rsidRPr="00836D90" w:rsidRDefault="006D40B7" w:rsidP="006D40B7">
            <w:pPr>
              <w:jc w:val="center"/>
              <w:rPr>
                <w:color w:val="0070C0"/>
              </w:rPr>
            </w:pPr>
            <w:r w:rsidRPr="00836D90">
              <w:rPr>
                <w:color w:val="0070C0"/>
              </w:rPr>
              <w:t>-0.0149</w:t>
            </w:r>
          </w:p>
        </w:tc>
        <w:tc>
          <w:tcPr>
            <w:tcW w:w="1336" w:type="dxa"/>
            <w:vAlign w:val="center"/>
          </w:tcPr>
          <w:p w14:paraId="01B486F7" w14:textId="14CBD485" w:rsidR="006D40B7" w:rsidRPr="00836D90" w:rsidRDefault="006D40B7" w:rsidP="006D40B7">
            <w:pPr>
              <w:jc w:val="center"/>
              <w:rPr>
                <w:color w:val="FF0000"/>
              </w:rPr>
            </w:pPr>
            <w:r w:rsidRPr="00836D90">
              <w:rPr>
                <w:color w:val="FF0000"/>
              </w:rPr>
              <w:t>-0.1861</w:t>
            </w:r>
          </w:p>
        </w:tc>
        <w:tc>
          <w:tcPr>
            <w:tcW w:w="1336" w:type="dxa"/>
            <w:vAlign w:val="center"/>
          </w:tcPr>
          <w:p w14:paraId="05AA7552" w14:textId="6AA4BC1E" w:rsidR="006D40B7" w:rsidRPr="00836D90" w:rsidRDefault="006D40B7" w:rsidP="006D40B7">
            <w:pPr>
              <w:jc w:val="center"/>
              <w:rPr>
                <w:color w:val="00B050"/>
              </w:rPr>
            </w:pPr>
            <w:r w:rsidRPr="00836D90">
              <w:rPr>
                <w:color w:val="00B050"/>
              </w:rPr>
              <w:t>-0.1170</w:t>
            </w:r>
          </w:p>
        </w:tc>
        <w:tc>
          <w:tcPr>
            <w:tcW w:w="1336" w:type="dxa"/>
            <w:vAlign w:val="center"/>
          </w:tcPr>
          <w:p w14:paraId="7763781F" w14:textId="4CD1C7E1" w:rsidR="006D40B7" w:rsidRPr="00836D90" w:rsidRDefault="006D40B7" w:rsidP="006D40B7">
            <w:pPr>
              <w:jc w:val="center"/>
              <w:rPr>
                <w:color w:val="0070C0"/>
              </w:rPr>
            </w:pPr>
            <w:r w:rsidRPr="00836D90">
              <w:rPr>
                <w:color w:val="0070C0"/>
              </w:rPr>
              <w:t>-0.0812</w:t>
            </w:r>
          </w:p>
        </w:tc>
      </w:tr>
    </w:tbl>
    <w:p w14:paraId="73544740" w14:textId="77777777" w:rsidR="002D406F" w:rsidRPr="00E03CDA" w:rsidRDefault="002D406F"/>
    <w:p w14:paraId="4FF33E80" w14:textId="77777777" w:rsidR="00EA777C" w:rsidRPr="00E03CDA" w:rsidRDefault="00EA777C"/>
    <w:p w14:paraId="3DA442A7" w14:textId="0177FF46" w:rsidR="008C5283" w:rsidRDefault="002F5DBC" w:rsidP="008C5283">
      <w:r w:rsidRPr="00E03CDA">
        <w:t xml:space="preserve"> </w:t>
      </w:r>
    </w:p>
    <w:p w14:paraId="1CFFD6FA" w14:textId="77777777" w:rsidR="00251169" w:rsidRPr="00E03CDA" w:rsidRDefault="00251169" w:rsidP="008C5283"/>
    <w:p w14:paraId="78826687" w14:textId="5818EBAA" w:rsidR="008C5283" w:rsidRPr="00251169" w:rsidRDefault="00251169">
      <w:pPr>
        <w:rPr>
          <w:b/>
        </w:rPr>
      </w:pPr>
      <w:r w:rsidRPr="00251169">
        <w:rPr>
          <w:b/>
        </w:rPr>
        <w:t xml:space="preserve">References: </w:t>
      </w:r>
    </w:p>
    <w:p w14:paraId="57B608EF" w14:textId="5B86AF29" w:rsidR="00F3635C" w:rsidRPr="00F3635C" w:rsidRDefault="00251169" w:rsidP="00F3635C">
      <w:pPr>
        <w:widowControl w:val="0"/>
        <w:autoSpaceDE w:val="0"/>
        <w:autoSpaceDN w:val="0"/>
        <w:adjustRightInd w:val="0"/>
        <w:ind w:left="640" w:hanging="640"/>
        <w:rPr>
          <w:rFonts w:ascii="Calibri" w:eastAsia="Times New Roman" w:hAnsi="Calibri" w:cs="Times New Roman"/>
          <w:noProof/>
          <w:lang w:eastAsia="zh-CN"/>
        </w:rPr>
      </w:pPr>
      <w:r>
        <w:fldChar w:fldCharType="begin" w:fldLock="1"/>
      </w:r>
      <w:r>
        <w:instrText xml:space="preserve">ADDIN Mendeley Bibliography CSL_BIBLIOGRAPHY </w:instrText>
      </w:r>
      <w:r>
        <w:fldChar w:fldCharType="separate"/>
      </w:r>
      <w:r w:rsidR="00F3635C" w:rsidRPr="00F3635C">
        <w:rPr>
          <w:rFonts w:ascii="Calibri" w:eastAsia="Times New Roman" w:hAnsi="Calibri" w:cs="Times New Roman"/>
          <w:noProof/>
          <w:lang w:eastAsia="zh-CN"/>
        </w:rPr>
        <w:t xml:space="preserve">1. </w:t>
      </w:r>
      <w:r w:rsidR="00F3635C" w:rsidRPr="00F3635C">
        <w:rPr>
          <w:rFonts w:ascii="Calibri" w:eastAsia="Times New Roman" w:hAnsi="Calibri" w:cs="Times New Roman"/>
          <w:noProof/>
          <w:lang w:eastAsia="zh-CN"/>
        </w:rPr>
        <w:tab/>
        <w:t>Nandagopal, N., and M.B. Elowitz. 2011. Synthetic Biology: Integrated Gene Circuits. Science (80-. ). 333: 1244–1248.</w:t>
      </w:r>
    </w:p>
    <w:p w14:paraId="7D818E2B" w14:textId="77777777" w:rsidR="00F3635C" w:rsidRPr="00F3635C" w:rsidRDefault="00F3635C" w:rsidP="00F3635C">
      <w:pPr>
        <w:widowControl w:val="0"/>
        <w:autoSpaceDE w:val="0"/>
        <w:autoSpaceDN w:val="0"/>
        <w:adjustRightInd w:val="0"/>
        <w:ind w:left="640" w:hanging="640"/>
        <w:rPr>
          <w:rFonts w:ascii="Calibri" w:eastAsia="Times New Roman" w:hAnsi="Calibri" w:cs="Times New Roman"/>
          <w:noProof/>
          <w:lang w:eastAsia="zh-CN"/>
        </w:rPr>
      </w:pPr>
      <w:r w:rsidRPr="00F3635C">
        <w:rPr>
          <w:rFonts w:ascii="Calibri" w:eastAsia="Times New Roman" w:hAnsi="Calibri" w:cs="Times New Roman"/>
          <w:noProof/>
          <w:lang w:eastAsia="zh-CN"/>
        </w:rPr>
        <w:t xml:space="preserve">2. </w:t>
      </w:r>
      <w:r w:rsidRPr="00F3635C">
        <w:rPr>
          <w:rFonts w:ascii="Calibri" w:eastAsia="Times New Roman" w:hAnsi="Calibri" w:cs="Times New Roman"/>
          <w:noProof/>
          <w:lang w:eastAsia="zh-CN"/>
        </w:rPr>
        <w:tab/>
        <w:t>Cheng, A.A., and T.K. Lu. 2012. Synthetic Biology: An Emerging Engineering Discipline. Annu. Rev. Biomed. Eng. 14: 155–178.</w:t>
      </w:r>
    </w:p>
    <w:p w14:paraId="6E37F431" w14:textId="77777777" w:rsidR="00F3635C" w:rsidRPr="00F3635C" w:rsidRDefault="00F3635C" w:rsidP="00F3635C">
      <w:pPr>
        <w:widowControl w:val="0"/>
        <w:autoSpaceDE w:val="0"/>
        <w:autoSpaceDN w:val="0"/>
        <w:adjustRightInd w:val="0"/>
        <w:ind w:left="640" w:hanging="640"/>
        <w:rPr>
          <w:rFonts w:ascii="Calibri" w:eastAsia="Times New Roman" w:hAnsi="Calibri" w:cs="Times New Roman"/>
          <w:noProof/>
          <w:lang w:eastAsia="zh-CN"/>
        </w:rPr>
      </w:pPr>
      <w:r w:rsidRPr="00F3635C">
        <w:rPr>
          <w:rFonts w:ascii="Calibri" w:eastAsia="Times New Roman" w:hAnsi="Calibri" w:cs="Times New Roman"/>
          <w:noProof/>
          <w:lang w:eastAsia="zh-CN"/>
        </w:rPr>
        <w:t xml:space="preserve">3. </w:t>
      </w:r>
      <w:r w:rsidRPr="00F3635C">
        <w:rPr>
          <w:rFonts w:ascii="Calibri" w:eastAsia="Times New Roman" w:hAnsi="Calibri" w:cs="Times New Roman"/>
          <w:noProof/>
          <w:lang w:eastAsia="zh-CN"/>
        </w:rPr>
        <w:tab/>
        <w:t>Medford, J.I., and A. Prasad. 2016. Towards programmable plant genetic circuits. Plant J. 87: 139–148.</w:t>
      </w:r>
    </w:p>
    <w:p w14:paraId="739FDD48" w14:textId="77777777" w:rsidR="00F3635C" w:rsidRPr="00F3635C" w:rsidRDefault="00F3635C" w:rsidP="00F3635C">
      <w:pPr>
        <w:widowControl w:val="0"/>
        <w:autoSpaceDE w:val="0"/>
        <w:autoSpaceDN w:val="0"/>
        <w:adjustRightInd w:val="0"/>
        <w:ind w:left="640" w:hanging="640"/>
        <w:rPr>
          <w:rFonts w:ascii="Calibri" w:eastAsia="Times New Roman" w:hAnsi="Calibri" w:cs="Times New Roman"/>
          <w:noProof/>
          <w:lang w:eastAsia="zh-CN"/>
        </w:rPr>
      </w:pPr>
      <w:r w:rsidRPr="00F3635C">
        <w:rPr>
          <w:rFonts w:ascii="Calibri" w:eastAsia="Times New Roman" w:hAnsi="Calibri" w:cs="Times New Roman"/>
          <w:noProof/>
          <w:lang w:eastAsia="zh-CN"/>
        </w:rPr>
        <w:t xml:space="preserve">4. </w:t>
      </w:r>
      <w:r w:rsidRPr="00F3635C">
        <w:rPr>
          <w:rFonts w:ascii="Calibri" w:eastAsia="Times New Roman" w:hAnsi="Calibri" w:cs="Times New Roman"/>
          <w:noProof/>
          <w:lang w:eastAsia="zh-CN"/>
        </w:rPr>
        <w:tab/>
        <w:t xml:space="preserve">Clough, S.J., and A.F. Bent. 1998. Floral dip: A simplified method for Agrobacterium-mediated transformation of </w:t>
      </w:r>
      <w:r w:rsidRPr="00F3635C">
        <w:rPr>
          <w:rFonts w:ascii="Calibri" w:eastAsia="Times New Roman" w:hAnsi="Calibri" w:cs="Times New Roman"/>
          <w:i/>
          <w:iCs/>
          <w:noProof/>
          <w:lang w:eastAsia="zh-CN"/>
        </w:rPr>
        <w:t>Arabidopsis thaliana</w:t>
      </w:r>
      <w:r w:rsidRPr="00F3635C">
        <w:rPr>
          <w:rFonts w:ascii="Calibri" w:eastAsia="Times New Roman" w:hAnsi="Calibri" w:cs="Times New Roman"/>
          <w:noProof/>
          <w:lang w:eastAsia="zh-CN"/>
        </w:rPr>
        <w:t>. Plant J. 16: 735–743.</w:t>
      </w:r>
    </w:p>
    <w:p w14:paraId="56F8F922" w14:textId="77777777" w:rsidR="00F3635C" w:rsidRPr="00F3635C" w:rsidRDefault="00F3635C" w:rsidP="00F3635C">
      <w:pPr>
        <w:widowControl w:val="0"/>
        <w:autoSpaceDE w:val="0"/>
        <w:autoSpaceDN w:val="0"/>
        <w:adjustRightInd w:val="0"/>
        <w:ind w:left="640" w:hanging="640"/>
        <w:rPr>
          <w:rFonts w:ascii="Calibri" w:eastAsia="Times New Roman" w:hAnsi="Calibri" w:cs="Times New Roman"/>
          <w:noProof/>
          <w:lang w:eastAsia="zh-CN"/>
        </w:rPr>
      </w:pPr>
      <w:r w:rsidRPr="00F3635C">
        <w:rPr>
          <w:rFonts w:ascii="Calibri" w:eastAsia="Times New Roman" w:hAnsi="Calibri" w:cs="Times New Roman"/>
          <w:noProof/>
          <w:lang w:eastAsia="zh-CN"/>
        </w:rPr>
        <w:t xml:space="preserve">5. </w:t>
      </w:r>
      <w:r w:rsidRPr="00F3635C">
        <w:rPr>
          <w:rFonts w:ascii="Calibri" w:eastAsia="Times New Roman" w:hAnsi="Calibri" w:cs="Times New Roman"/>
          <w:noProof/>
          <w:lang w:eastAsia="zh-CN"/>
        </w:rPr>
        <w:tab/>
        <w:t>Murashige, T., and F. Skoog. 1962. A revised medium for rapid growth and bioassays with tobacco tissue cultures. Physiol Plant. 15: 473–497.</w:t>
      </w:r>
    </w:p>
    <w:p w14:paraId="287A6F6F" w14:textId="77777777" w:rsidR="00F3635C" w:rsidRPr="00F3635C" w:rsidRDefault="00F3635C" w:rsidP="00F3635C">
      <w:pPr>
        <w:widowControl w:val="0"/>
        <w:autoSpaceDE w:val="0"/>
        <w:autoSpaceDN w:val="0"/>
        <w:adjustRightInd w:val="0"/>
        <w:ind w:left="640" w:hanging="640"/>
        <w:rPr>
          <w:rFonts w:ascii="Calibri" w:eastAsia="Times New Roman" w:hAnsi="Calibri" w:cs="Times New Roman"/>
          <w:noProof/>
          <w:lang w:eastAsia="zh-CN"/>
        </w:rPr>
      </w:pPr>
      <w:r w:rsidRPr="00F3635C">
        <w:rPr>
          <w:rFonts w:ascii="Calibri" w:eastAsia="Times New Roman" w:hAnsi="Calibri" w:cs="Times New Roman"/>
          <w:noProof/>
          <w:lang w:eastAsia="zh-CN"/>
        </w:rPr>
        <w:t xml:space="preserve">6. </w:t>
      </w:r>
      <w:r w:rsidRPr="00F3635C">
        <w:rPr>
          <w:rFonts w:ascii="Calibri" w:eastAsia="Times New Roman" w:hAnsi="Calibri" w:cs="Times New Roman"/>
          <w:noProof/>
          <w:lang w:eastAsia="zh-CN"/>
        </w:rPr>
        <w:tab/>
        <w:t>Schaumberg, K.A., M.S. Antunes, T.K. Kassaw, W. Xu, C.S. Zalewski, J.I. Medford, and A. Prasad. 2016. Quantitative characterization of genetic parts and circuits for plant synthetic biology. Nat Meth. 13: 94–100.</w:t>
      </w:r>
    </w:p>
    <w:p w14:paraId="7C11C63E" w14:textId="77777777" w:rsidR="00F3635C" w:rsidRPr="00F3635C" w:rsidRDefault="00F3635C" w:rsidP="00F3635C">
      <w:pPr>
        <w:widowControl w:val="0"/>
        <w:autoSpaceDE w:val="0"/>
        <w:autoSpaceDN w:val="0"/>
        <w:adjustRightInd w:val="0"/>
        <w:ind w:left="640" w:hanging="640"/>
        <w:rPr>
          <w:rFonts w:ascii="Calibri" w:eastAsia="Times New Roman" w:hAnsi="Calibri" w:cs="Times New Roman"/>
          <w:noProof/>
          <w:lang w:eastAsia="zh-CN"/>
        </w:rPr>
      </w:pPr>
      <w:r w:rsidRPr="00F3635C">
        <w:rPr>
          <w:rFonts w:ascii="Calibri" w:eastAsia="Times New Roman" w:hAnsi="Calibri" w:cs="Times New Roman"/>
          <w:noProof/>
          <w:lang w:eastAsia="zh-CN"/>
        </w:rPr>
        <w:t xml:space="preserve">7. </w:t>
      </w:r>
      <w:r w:rsidRPr="00F3635C">
        <w:rPr>
          <w:rFonts w:ascii="Calibri" w:eastAsia="Times New Roman" w:hAnsi="Calibri" w:cs="Times New Roman"/>
          <w:noProof/>
          <w:lang w:eastAsia="zh-CN"/>
        </w:rPr>
        <w:tab/>
        <w:t>Goldberg, R. 1988. Plants: novel developmental processes. Science (80-. ). 240: 1460–1467.</w:t>
      </w:r>
    </w:p>
    <w:p w14:paraId="50EF3F52" w14:textId="77777777" w:rsidR="00F3635C" w:rsidRPr="00F3635C" w:rsidRDefault="00F3635C" w:rsidP="00F3635C">
      <w:pPr>
        <w:widowControl w:val="0"/>
        <w:autoSpaceDE w:val="0"/>
        <w:autoSpaceDN w:val="0"/>
        <w:adjustRightInd w:val="0"/>
        <w:ind w:left="640" w:hanging="640"/>
        <w:rPr>
          <w:rFonts w:ascii="Calibri" w:eastAsia="Times New Roman" w:hAnsi="Calibri" w:cs="Times New Roman"/>
          <w:noProof/>
          <w:lang w:eastAsia="zh-CN"/>
        </w:rPr>
      </w:pPr>
      <w:r w:rsidRPr="00F3635C">
        <w:rPr>
          <w:rFonts w:ascii="Calibri" w:eastAsia="Times New Roman" w:hAnsi="Calibri" w:cs="Times New Roman"/>
          <w:noProof/>
          <w:lang w:eastAsia="zh-CN"/>
        </w:rPr>
        <w:t xml:space="preserve">8. </w:t>
      </w:r>
      <w:r w:rsidRPr="00F3635C">
        <w:rPr>
          <w:rFonts w:ascii="Calibri" w:eastAsia="Times New Roman" w:hAnsi="Calibri" w:cs="Times New Roman"/>
          <w:noProof/>
          <w:lang w:eastAsia="zh-CN"/>
        </w:rPr>
        <w:tab/>
        <w:t>Schaumberg, K.A., M.S. Antunes, T.K. Kassaw, W. Xu, C.S. Zalewski, J.I. Medford, and A. Prasad. 2015. Quantitative characterization of genetic parts and circuits for plant synthetic biology. Nat. Methods. .</w:t>
      </w:r>
    </w:p>
    <w:p w14:paraId="055CFDF1" w14:textId="77777777" w:rsidR="00F3635C" w:rsidRPr="00F3635C" w:rsidRDefault="00F3635C" w:rsidP="00F3635C">
      <w:pPr>
        <w:widowControl w:val="0"/>
        <w:autoSpaceDE w:val="0"/>
        <w:autoSpaceDN w:val="0"/>
        <w:adjustRightInd w:val="0"/>
        <w:ind w:left="640" w:hanging="640"/>
        <w:rPr>
          <w:rFonts w:ascii="Calibri" w:hAnsi="Calibri"/>
          <w:noProof/>
        </w:rPr>
      </w:pPr>
      <w:r w:rsidRPr="00F3635C">
        <w:rPr>
          <w:rFonts w:ascii="Calibri" w:eastAsia="Times New Roman" w:hAnsi="Calibri" w:cs="Times New Roman"/>
          <w:noProof/>
          <w:lang w:eastAsia="zh-CN"/>
        </w:rPr>
        <w:t xml:space="preserve">9. </w:t>
      </w:r>
      <w:r w:rsidRPr="00F3635C">
        <w:rPr>
          <w:rFonts w:ascii="Calibri" w:eastAsia="Times New Roman" w:hAnsi="Calibri" w:cs="Times New Roman"/>
          <w:noProof/>
          <w:lang w:eastAsia="zh-CN"/>
        </w:rPr>
        <w:tab/>
        <w:t>Tan, C., P. Marguet, and L. You. 2009. Emergent bistability by a growth-modulating positive feedback circuit. Nat. Chem. Biol. 5: 842–848.</w:t>
      </w:r>
    </w:p>
    <w:p w14:paraId="5EBD478D" w14:textId="7454D934" w:rsidR="00251169" w:rsidRPr="00E03CDA" w:rsidRDefault="00251169" w:rsidP="00F3635C">
      <w:pPr>
        <w:widowControl w:val="0"/>
        <w:autoSpaceDE w:val="0"/>
        <w:autoSpaceDN w:val="0"/>
        <w:adjustRightInd w:val="0"/>
        <w:ind w:left="640" w:hanging="640"/>
      </w:pPr>
      <w:r>
        <w:fldChar w:fldCharType="end"/>
      </w:r>
    </w:p>
    <w:sectPr w:rsidR="00251169" w:rsidRPr="00E03CDA" w:rsidSect="00B77690">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DengXian">
    <w:charset w:val="86"/>
    <w:family w:val="script"/>
    <w:pitch w:val="variable"/>
    <w:sig w:usb0="A00002BF" w:usb1="38CF7CFA" w:usb2="00000016" w:usb3="00000000" w:csb0="0004000F" w:csb1="00000000"/>
  </w:font>
  <w:font w:name="Arial">
    <w:panose1 w:val="020B0604020202020204"/>
    <w:charset w:val="00"/>
    <w:family w:val="auto"/>
    <w:pitch w:val="variable"/>
    <w:sig w:usb0="00000003" w:usb1="00000000" w:usb2="00000000" w:usb3="00000000" w:csb0="00000001" w:csb1="00000000"/>
  </w:font>
  <w:font w:name="DengXian Light">
    <w:charset w:val="86"/>
    <w:family w:val="script"/>
    <w:pitch w:val="variable"/>
    <w:sig w:usb0="A00002BF" w:usb1="38CF7CFA" w:usb2="00000016" w:usb3="00000000" w:csb0="0004000F" w:csb1="00000000"/>
  </w:font>
  <w:font w:name="Calibri Light">
    <w:panose1 w:val="020F03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oNotDisplayPageBoundaries/>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B96"/>
    <w:rsid w:val="000147A2"/>
    <w:rsid w:val="00036B52"/>
    <w:rsid w:val="00042BFA"/>
    <w:rsid w:val="00061ACD"/>
    <w:rsid w:val="0010628E"/>
    <w:rsid w:val="00116066"/>
    <w:rsid w:val="00132D63"/>
    <w:rsid w:val="001579A9"/>
    <w:rsid w:val="001B5561"/>
    <w:rsid w:val="001C7BE5"/>
    <w:rsid w:val="00234821"/>
    <w:rsid w:val="002370AF"/>
    <w:rsid w:val="00251169"/>
    <w:rsid w:val="002C6272"/>
    <w:rsid w:val="002D406F"/>
    <w:rsid w:val="002E56D0"/>
    <w:rsid w:val="002F37BD"/>
    <w:rsid w:val="002F5DBC"/>
    <w:rsid w:val="0033590C"/>
    <w:rsid w:val="003514B5"/>
    <w:rsid w:val="003A05E9"/>
    <w:rsid w:val="003D3736"/>
    <w:rsid w:val="003E3DB6"/>
    <w:rsid w:val="003E4004"/>
    <w:rsid w:val="003E4EC2"/>
    <w:rsid w:val="004516A8"/>
    <w:rsid w:val="0047067B"/>
    <w:rsid w:val="00483340"/>
    <w:rsid w:val="004B0D0E"/>
    <w:rsid w:val="00502461"/>
    <w:rsid w:val="005038E8"/>
    <w:rsid w:val="00516791"/>
    <w:rsid w:val="0054658F"/>
    <w:rsid w:val="005805C0"/>
    <w:rsid w:val="00590E6E"/>
    <w:rsid w:val="005C6E82"/>
    <w:rsid w:val="00606F4F"/>
    <w:rsid w:val="00623413"/>
    <w:rsid w:val="00631B17"/>
    <w:rsid w:val="006C387F"/>
    <w:rsid w:val="006D167D"/>
    <w:rsid w:val="006D40B7"/>
    <w:rsid w:val="006D49A0"/>
    <w:rsid w:val="006D5D70"/>
    <w:rsid w:val="00705CF8"/>
    <w:rsid w:val="0070770D"/>
    <w:rsid w:val="00717505"/>
    <w:rsid w:val="00721C0F"/>
    <w:rsid w:val="00726F7F"/>
    <w:rsid w:val="007310FF"/>
    <w:rsid w:val="00753C04"/>
    <w:rsid w:val="00755191"/>
    <w:rsid w:val="00761624"/>
    <w:rsid w:val="00762CE8"/>
    <w:rsid w:val="00786AE5"/>
    <w:rsid w:val="007D1A8E"/>
    <w:rsid w:val="00821B3B"/>
    <w:rsid w:val="00826327"/>
    <w:rsid w:val="00836D90"/>
    <w:rsid w:val="00847E7A"/>
    <w:rsid w:val="00880BAD"/>
    <w:rsid w:val="0089553F"/>
    <w:rsid w:val="008A4D5E"/>
    <w:rsid w:val="008A5F7D"/>
    <w:rsid w:val="008B29BB"/>
    <w:rsid w:val="008B4A8D"/>
    <w:rsid w:val="008B55A6"/>
    <w:rsid w:val="008C5283"/>
    <w:rsid w:val="008C6E5F"/>
    <w:rsid w:val="008E06D6"/>
    <w:rsid w:val="008E23A8"/>
    <w:rsid w:val="008F3F82"/>
    <w:rsid w:val="00955834"/>
    <w:rsid w:val="00962992"/>
    <w:rsid w:val="00962D74"/>
    <w:rsid w:val="00993FA4"/>
    <w:rsid w:val="009A1AB5"/>
    <w:rsid w:val="009B0C58"/>
    <w:rsid w:val="009B7E68"/>
    <w:rsid w:val="009C42EF"/>
    <w:rsid w:val="009D4DB9"/>
    <w:rsid w:val="00A72714"/>
    <w:rsid w:val="00A84DEA"/>
    <w:rsid w:val="00A91AD4"/>
    <w:rsid w:val="00A95DCF"/>
    <w:rsid w:val="00AF31B6"/>
    <w:rsid w:val="00B22624"/>
    <w:rsid w:val="00B44B96"/>
    <w:rsid w:val="00B515E4"/>
    <w:rsid w:val="00B700AC"/>
    <w:rsid w:val="00B77690"/>
    <w:rsid w:val="00B95FD2"/>
    <w:rsid w:val="00BE3C54"/>
    <w:rsid w:val="00C11C01"/>
    <w:rsid w:val="00C159DB"/>
    <w:rsid w:val="00C344CA"/>
    <w:rsid w:val="00C74A56"/>
    <w:rsid w:val="00CE1D10"/>
    <w:rsid w:val="00D170DD"/>
    <w:rsid w:val="00D5270D"/>
    <w:rsid w:val="00D72C14"/>
    <w:rsid w:val="00D8545E"/>
    <w:rsid w:val="00DA69D3"/>
    <w:rsid w:val="00DC6F50"/>
    <w:rsid w:val="00DF0A96"/>
    <w:rsid w:val="00DF2A28"/>
    <w:rsid w:val="00E03CDA"/>
    <w:rsid w:val="00E41822"/>
    <w:rsid w:val="00E45F13"/>
    <w:rsid w:val="00E53871"/>
    <w:rsid w:val="00E77432"/>
    <w:rsid w:val="00E849DA"/>
    <w:rsid w:val="00EA777C"/>
    <w:rsid w:val="00EA7D80"/>
    <w:rsid w:val="00EB67B7"/>
    <w:rsid w:val="00F215BB"/>
    <w:rsid w:val="00F23C54"/>
    <w:rsid w:val="00F3635C"/>
    <w:rsid w:val="00F45E4B"/>
    <w:rsid w:val="00F7583A"/>
    <w:rsid w:val="00F819C5"/>
    <w:rsid w:val="00FE26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25C1A1"/>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38E8"/>
    <w:rPr>
      <w:color w:val="808080"/>
    </w:rPr>
  </w:style>
  <w:style w:type="table" w:styleId="TableGrid">
    <w:name w:val="Table Grid"/>
    <w:basedOn w:val="TableNormal"/>
    <w:uiPriority w:val="39"/>
    <w:rsid w:val="006D40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758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583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38E8"/>
    <w:rPr>
      <w:color w:val="808080"/>
    </w:rPr>
  </w:style>
  <w:style w:type="table" w:styleId="TableGrid">
    <w:name w:val="Table Grid"/>
    <w:basedOn w:val="TableNormal"/>
    <w:uiPriority w:val="39"/>
    <w:rsid w:val="006D40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758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583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BBB9146-4F68-0441-B593-CB7A27310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4076</Words>
  <Characters>23234</Characters>
  <Application>Microsoft Macintosh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Colorado State University</Company>
  <LinksUpToDate>false</LinksUpToDate>
  <CharactersWithSpaces>27256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Xu,Wenlong</dc:creator>
  <cp:keywords/>
  <dc:description/>
  <cp:lastModifiedBy>Ashok. Prasad</cp:lastModifiedBy>
  <cp:revision>3</cp:revision>
  <dcterms:created xsi:type="dcterms:W3CDTF">2018-01-22T06:45:00Z</dcterms:created>
  <dcterms:modified xsi:type="dcterms:W3CDTF">2018-01-22T06:49:00Z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http://www.zotero.org/styles/biophysical-journal</vt:lpwstr>
  </property>
  <property fmtid="{D5CDD505-2E9C-101B-9397-08002B2CF9AE}" pid="9" name="Mendeley Recent Style Name 3_1">
    <vt:lpwstr>Biophysical Journal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d1daa1c9-af1d-3d0e-b347-2523f267fac0</vt:lpwstr>
  </property>
  <property fmtid="{D5CDD505-2E9C-101B-9397-08002B2CF9AE}" pid="24" name="Mendeley Citation Style_1">
    <vt:lpwstr>http://www.zotero.org/styles/biophysical-journal</vt:lpwstr>
  </property>
</Properties>
</file>