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6B8B" w14:textId="77777777" w:rsidR="00CB6A19" w:rsidRDefault="00000000">
      <w:pPr>
        <w:pStyle w:val="a9"/>
      </w:pPr>
      <w:bookmarkStart w:id="0" w:name="header"/>
      <w:bookmarkStart w:id="1" w:name="predictive-policing-systems"/>
      <w:bookmarkStart w:id="2" w:name="content"/>
      <w:bookmarkEnd w:id="0"/>
      <w:r>
        <w:t>Predictive Policing Systems</w:t>
      </w:r>
      <w:bookmarkStart w:id="3" w:name="executive-summary"/>
    </w:p>
    <w:p w14:paraId="650CABC1" w14:textId="77777777" w:rsidR="00CB6A19" w:rsidRDefault="00000000">
      <w:pPr>
        <w:pStyle w:val="1"/>
        <w:jc w:val="center"/>
        <w:rPr>
          <w:color w:val="000000" w:themeColor="text1"/>
          <w:sz w:val="24"/>
          <w:szCs w:val="24"/>
        </w:rPr>
      </w:pPr>
      <w:r>
        <w:rPr>
          <w:rFonts w:hint="eastAsia"/>
          <w:color w:val="000000" w:themeColor="text1"/>
          <w:sz w:val="24"/>
          <w:szCs w:val="24"/>
        </w:rPr>
        <w:t>Team 18</w:t>
      </w:r>
      <w:r>
        <w:rPr>
          <w:rFonts w:hint="eastAsia"/>
          <w:color w:val="000000" w:themeColor="text1"/>
          <w:sz w:val="24"/>
          <w:szCs w:val="24"/>
        </w:rPr>
        <w:t>｜</w:t>
      </w:r>
      <w:r>
        <w:rPr>
          <w:rFonts w:hint="eastAsia"/>
          <w:color w:val="000000" w:themeColor="text1"/>
          <w:sz w:val="24"/>
          <w:szCs w:val="24"/>
        </w:rPr>
        <w:t>Zhou Chengyu  Wang Yuxuan</w:t>
      </w:r>
      <w:r>
        <w:rPr>
          <w:color w:val="000000" w:themeColor="text1"/>
          <w:sz w:val="24"/>
          <w:szCs w:val="24"/>
        </w:rPr>
        <w:t xml:space="preserve">  Luo Shangyi  Zhang </w:t>
      </w:r>
      <w:proofErr w:type="spellStart"/>
      <w:r>
        <w:rPr>
          <w:rFonts w:hint="eastAsia"/>
          <w:color w:val="000000" w:themeColor="text1"/>
          <w:sz w:val="24"/>
          <w:szCs w:val="24"/>
        </w:rPr>
        <w:t>Jiejian</w:t>
      </w:r>
      <w:proofErr w:type="spellEnd"/>
      <w:r>
        <w:rPr>
          <w:color w:val="000000" w:themeColor="text1"/>
          <w:sz w:val="24"/>
          <w:szCs w:val="24"/>
        </w:rPr>
        <w:t xml:space="preserve">  Sun Haowen</w:t>
      </w:r>
    </w:p>
    <w:p w14:paraId="3225F97C" w14:textId="77777777" w:rsidR="00CB6A19" w:rsidRDefault="00000000">
      <w:pPr>
        <w:pStyle w:val="1"/>
        <w:rPr>
          <w:color w:val="000000" w:themeColor="text1"/>
        </w:rPr>
      </w:pPr>
      <w:r>
        <w:rPr>
          <w:color w:val="000000" w:themeColor="text1"/>
        </w:rPr>
        <w:t>Literature Review</w:t>
      </w:r>
    </w:p>
    <w:p w14:paraId="75E0D2E0" w14:textId="77777777" w:rsidR="00CB6A19" w:rsidRDefault="00000000">
      <w:pPr>
        <w:pStyle w:val="2"/>
        <w:rPr>
          <w:b/>
          <w:bCs/>
          <w:color w:val="000000" w:themeColor="text1"/>
          <w:sz w:val="24"/>
          <w:szCs w:val="24"/>
        </w:rPr>
      </w:pPr>
      <w:r>
        <w:rPr>
          <w:b/>
          <w:bCs/>
          <w:color w:val="000000" w:themeColor="text1"/>
          <w:sz w:val="24"/>
          <w:szCs w:val="24"/>
        </w:rPr>
        <w:t>Executive summary</w:t>
      </w:r>
    </w:p>
    <w:p w14:paraId="4D06CA7E" w14:textId="77777777" w:rsidR="00CB6A19" w:rsidRDefault="00000000">
      <w:pPr>
        <w:pStyle w:val="FirstParagraph"/>
      </w:pPr>
      <w:r>
        <w:t>Predictive policing applies analytics to forecast risk and prioritize police interventions. Across hotspot forecasting (</w:t>
      </w:r>
      <w:proofErr w:type="spellStart"/>
      <w:r>
        <w:t>PredPol</w:t>
      </w:r>
      <w:proofErr w:type="spellEnd"/>
      <w:r>
        <w:t>/</w:t>
      </w:r>
      <w:proofErr w:type="spellStart"/>
      <w:r>
        <w:t>Geolitica</w:t>
      </w:r>
      <w:proofErr w:type="spellEnd"/>
      <w:r>
        <w:t xml:space="preserve">), environmental risk mapping (Risk Terrain Modeling, RTM), and Real-Time Crime Centers (RTCCs), real-world value depends less on nominal accuracy than on credible evaluation and effective control of bias and deployment-driven feedback in police-generated data. </w:t>
      </w:r>
    </w:p>
    <w:p w14:paraId="18932C00" w14:textId="77777777" w:rsidR="00CB6A19" w:rsidRDefault="00000000">
      <w:pPr>
        <w:pStyle w:val="2"/>
        <w:rPr>
          <w:b/>
          <w:bCs/>
          <w:color w:val="000000" w:themeColor="text1"/>
          <w:sz w:val="24"/>
          <w:szCs w:val="24"/>
        </w:rPr>
      </w:pPr>
      <w:bookmarkStart w:id="4" w:name="definition-and-evolution"/>
      <w:bookmarkEnd w:id="3"/>
      <w:r>
        <w:rPr>
          <w:b/>
          <w:bCs/>
          <w:color w:val="000000" w:themeColor="text1"/>
          <w:sz w:val="24"/>
          <w:szCs w:val="24"/>
        </w:rPr>
        <w:t>Definition and evolution</w:t>
      </w:r>
    </w:p>
    <w:p w14:paraId="610BC8E0" w14:textId="77777777" w:rsidR="00CB6A19" w:rsidRDefault="00000000">
      <w:pPr>
        <w:pStyle w:val="FirstParagraph"/>
      </w:pPr>
      <w:r>
        <w:t xml:space="preserve">The RAND Corporation defines predictive policing as applying analytic (especially quantitative) techniques to identify likely targets for police intervention to prevent crime or help solve past crimes </w:t>
      </w:r>
      <w:r>
        <w:rPr>
          <w:vertAlign w:val="superscript"/>
        </w:rPr>
        <w:t>[1]</w:t>
      </w:r>
      <w:r>
        <w:t>. CompStat provides a managerial baseline: a Bureau of Justice Assistance/ Police Executive Research Forum</w:t>
      </w:r>
      <w:r>
        <w:rPr>
          <w:rFonts w:hint="eastAsia"/>
        </w:rPr>
        <w:t xml:space="preserve"> </w:t>
      </w:r>
      <w:r>
        <w:t xml:space="preserve">guide frames CompStat as a performance-management system built on timely information, rapid deployment, effective tactics, and relentless follow-up through recurring accountability meetings </w:t>
      </w:r>
      <w:r>
        <w:rPr>
          <w:vertAlign w:val="superscript"/>
        </w:rPr>
        <w:t>[2]</w:t>
      </w:r>
      <w:r>
        <w:t xml:space="preserve">; predictive policing extends this cycle from retrospectively tracking patterns toward prospectively allocating risk. </w:t>
      </w:r>
    </w:p>
    <w:p w14:paraId="1C262127" w14:textId="77777777" w:rsidR="00CB6A19" w:rsidRDefault="00000000">
      <w:pPr>
        <w:pStyle w:val="2"/>
        <w:rPr>
          <w:b/>
          <w:bCs/>
          <w:color w:val="000000" w:themeColor="text1"/>
          <w:sz w:val="24"/>
          <w:szCs w:val="24"/>
        </w:rPr>
      </w:pPr>
      <w:bookmarkStart w:id="5" w:name="system-archetypes"/>
      <w:bookmarkEnd w:id="4"/>
      <w:r>
        <w:rPr>
          <w:b/>
          <w:bCs/>
          <w:color w:val="000000" w:themeColor="text1"/>
          <w:sz w:val="24"/>
          <w:szCs w:val="24"/>
        </w:rPr>
        <w:t>System archetypes</w:t>
      </w:r>
    </w:p>
    <w:p w14:paraId="7DD29E98" w14:textId="77777777" w:rsidR="00CB6A19" w:rsidRDefault="00000000">
      <w:pPr>
        <w:pStyle w:val="FirstParagraph"/>
      </w:pPr>
      <w:proofErr w:type="spellStart"/>
      <w:r>
        <w:t>PredPol</w:t>
      </w:r>
      <w:proofErr w:type="spellEnd"/>
      <w:r>
        <w:t>/</w:t>
      </w:r>
      <w:proofErr w:type="spellStart"/>
      <w:r>
        <w:t>Geolitica</w:t>
      </w:r>
      <w:proofErr w:type="spellEnd"/>
      <w:r>
        <w:t xml:space="preserve">. Output: short-horizon hotspot “risk boxes”; Inputs: incident time–location–type logs; Methods: SEPP/Hawkes self-exciting point processes modeling near-repeat triggering; Evidence: SEPP improves prediction in clustered burglary-like data </w:t>
      </w:r>
      <w:r>
        <w:rPr>
          <w:vertAlign w:val="superscript"/>
        </w:rPr>
        <w:t>[3]</w:t>
      </w:r>
      <w:r>
        <w:t xml:space="preserve">; Limitations: if labels reflect enforcement intensity, forecasts can reproduce policing patterns rather than latent crime risk </w:t>
      </w:r>
      <w:r>
        <w:rPr>
          <w:vertAlign w:val="superscript"/>
        </w:rPr>
        <w:t>[5]</w:t>
      </w:r>
      <w:r>
        <w:t>.</w:t>
      </w:r>
    </w:p>
    <w:p w14:paraId="141B2DB9" w14:textId="77777777" w:rsidR="00CB6A19" w:rsidRDefault="00000000">
      <w:pPr>
        <w:pStyle w:val="a0"/>
      </w:pPr>
      <w:r>
        <w:t xml:space="preserve">RTM. Output: risk surface plus interpretable drivers; Inputs: incidents combined with GIS/POI layers; Methods: risk-layer construction plus statistical models; Evidence: RTM risk terrains have been reported to forecast shootings and outperform retrospective hotspot maps in a case study </w:t>
      </w:r>
      <w:r>
        <w:rPr>
          <w:vertAlign w:val="superscript"/>
        </w:rPr>
        <w:t>[4]</w:t>
      </w:r>
      <w:r>
        <w:t xml:space="preserve">; Limitations: POI quality, feature selection, and confounding limit causal interpretation and transferability </w:t>
      </w:r>
      <w:r>
        <w:rPr>
          <w:vertAlign w:val="superscript"/>
        </w:rPr>
        <w:t>[4]</w:t>
      </w:r>
      <w:r>
        <w:t xml:space="preserve">. </w:t>
      </w:r>
    </w:p>
    <w:p w14:paraId="71B5D976" w14:textId="77777777" w:rsidR="00CB6A19" w:rsidRDefault="00000000">
      <w:pPr>
        <w:pStyle w:val="a0"/>
      </w:pPr>
      <w:r>
        <w:t>RTCCs. Output: near-real-time situational awareness and investigative decision support; Inputs: multi-source criminal/noncriminal streams; Methods: data fusion, SOP/workflows, analyst-in-the-loop reasoning; Evidence: a RAND evaluation of Chicago Police Department</w:t>
      </w:r>
      <w:r>
        <w:rPr>
          <w:rFonts w:hint="eastAsia"/>
        </w:rPr>
        <w:t xml:space="preserve"> </w:t>
      </w:r>
      <w:r>
        <w:t xml:space="preserve">district-level RTCCs (SDSCs) reports estimated reductions across multiple crime categories using comparative designs </w:t>
      </w:r>
      <w:r>
        <w:rPr>
          <w:vertAlign w:val="superscript"/>
        </w:rPr>
        <w:t>[8]</w:t>
      </w:r>
      <w:r>
        <w:t xml:space="preserve">; Limitations: attribution is difficult and governance burdens (access, retention, audit logs) are material </w:t>
      </w:r>
      <w:r>
        <w:rPr>
          <w:vertAlign w:val="superscript"/>
        </w:rPr>
        <w:t>[8]</w:t>
      </w:r>
      <w:r>
        <w:t>.</w:t>
      </w:r>
      <w:bookmarkStart w:id="6" w:name="five-element-comparison-table"/>
      <w:bookmarkEnd w:id="5"/>
    </w:p>
    <w:p w14:paraId="68647A1A" w14:textId="77777777" w:rsidR="00CB6A19" w:rsidRDefault="00000000">
      <w:pPr>
        <w:pStyle w:val="a0"/>
        <w:jc w:val="center"/>
      </w:pPr>
      <w:r>
        <w:t>Table I. Comparison of Predictive Policing System Archetypes</w:t>
      </w:r>
    </w:p>
    <w:tbl>
      <w:tblPr>
        <w:tblStyle w:val="ae"/>
        <w:tblW w:w="0" w:type="auto"/>
        <w:tblLook w:val="04A0" w:firstRow="1" w:lastRow="0" w:firstColumn="1" w:lastColumn="0" w:noHBand="0" w:noVBand="1"/>
      </w:tblPr>
      <w:tblGrid>
        <w:gridCol w:w="1377"/>
        <w:gridCol w:w="2508"/>
        <w:gridCol w:w="1962"/>
        <w:gridCol w:w="2107"/>
        <w:gridCol w:w="2236"/>
      </w:tblGrid>
      <w:tr w:rsidR="00CB6A19" w14:paraId="23E9DFAE" w14:textId="77777777">
        <w:tc>
          <w:tcPr>
            <w:tcW w:w="0" w:type="auto"/>
            <w:vAlign w:val="center"/>
          </w:tcPr>
          <w:p w14:paraId="71AD298F" w14:textId="77777777" w:rsidR="00CB6A19" w:rsidRDefault="00000000">
            <w:pPr>
              <w:pStyle w:val="Compact"/>
              <w:jc w:val="center"/>
            </w:pPr>
            <w:r>
              <w:t>Element</w:t>
            </w:r>
          </w:p>
        </w:tc>
        <w:tc>
          <w:tcPr>
            <w:tcW w:w="0" w:type="auto"/>
            <w:vAlign w:val="center"/>
          </w:tcPr>
          <w:p w14:paraId="1B20454B" w14:textId="77777777" w:rsidR="00CB6A19" w:rsidRDefault="00000000">
            <w:pPr>
              <w:pStyle w:val="Compact"/>
              <w:jc w:val="center"/>
            </w:pPr>
            <w:proofErr w:type="spellStart"/>
            <w:r>
              <w:t>PredPol</w:t>
            </w:r>
            <w:proofErr w:type="spellEnd"/>
            <w:r>
              <w:t>/</w:t>
            </w:r>
            <w:proofErr w:type="spellStart"/>
            <w:r>
              <w:t>Geolitica</w:t>
            </w:r>
            <w:proofErr w:type="spellEnd"/>
          </w:p>
        </w:tc>
        <w:tc>
          <w:tcPr>
            <w:tcW w:w="0" w:type="auto"/>
            <w:vAlign w:val="center"/>
          </w:tcPr>
          <w:p w14:paraId="400F08EA" w14:textId="77777777" w:rsidR="00CB6A19" w:rsidRDefault="00000000">
            <w:pPr>
              <w:pStyle w:val="Compact"/>
              <w:jc w:val="center"/>
            </w:pPr>
            <w:r>
              <w:t>RTM</w:t>
            </w:r>
          </w:p>
        </w:tc>
        <w:tc>
          <w:tcPr>
            <w:tcW w:w="0" w:type="auto"/>
            <w:vAlign w:val="center"/>
          </w:tcPr>
          <w:p w14:paraId="1BD5DB77" w14:textId="77777777" w:rsidR="00CB6A19" w:rsidRDefault="00000000">
            <w:pPr>
              <w:pStyle w:val="Compact"/>
              <w:jc w:val="center"/>
            </w:pPr>
            <w:r>
              <w:t>RTCCs</w:t>
            </w:r>
          </w:p>
        </w:tc>
        <w:tc>
          <w:tcPr>
            <w:tcW w:w="0" w:type="auto"/>
            <w:vAlign w:val="center"/>
          </w:tcPr>
          <w:p w14:paraId="765131A1" w14:textId="77777777" w:rsidR="00CB6A19" w:rsidRDefault="00000000">
            <w:pPr>
              <w:pStyle w:val="Compact"/>
              <w:jc w:val="center"/>
            </w:pPr>
            <w:r>
              <w:t>Notes</w:t>
            </w:r>
          </w:p>
        </w:tc>
      </w:tr>
      <w:tr w:rsidR="00CB6A19" w14:paraId="4DDE1B8A" w14:textId="77777777">
        <w:tc>
          <w:tcPr>
            <w:tcW w:w="0" w:type="auto"/>
            <w:vAlign w:val="center"/>
          </w:tcPr>
          <w:p w14:paraId="5E36E928" w14:textId="77777777" w:rsidR="00CB6A19" w:rsidRDefault="00000000">
            <w:pPr>
              <w:pStyle w:val="Compact"/>
              <w:jc w:val="center"/>
            </w:pPr>
            <w:r>
              <w:t>Output</w:t>
            </w:r>
          </w:p>
        </w:tc>
        <w:tc>
          <w:tcPr>
            <w:tcW w:w="0" w:type="auto"/>
            <w:vAlign w:val="center"/>
          </w:tcPr>
          <w:p w14:paraId="7B9B804A" w14:textId="77777777" w:rsidR="00CB6A19" w:rsidRDefault="00000000">
            <w:pPr>
              <w:pStyle w:val="Compact"/>
              <w:jc w:val="center"/>
            </w:pPr>
            <w:r>
              <w:t>hotspot “risk boxes”</w:t>
            </w:r>
          </w:p>
        </w:tc>
        <w:tc>
          <w:tcPr>
            <w:tcW w:w="0" w:type="auto"/>
            <w:vAlign w:val="center"/>
          </w:tcPr>
          <w:p w14:paraId="17959225" w14:textId="77777777" w:rsidR="00CB6A19" w:rsidRDefault="00000000">
            <w:pPr>
              <w:pStyle w:val="Compact"/>
              <w:jc w:val="center"/>
            </w:pPr>
            <w:r>
              <w:t>risk terrain + drivers</w:t>
            </w:r>
          </w:p>
        </w:tc>
        <w:tc>
          <w:tcPr>
            <w:tcW w:w="0" w:type="auto"/>
            <w:vAlign w:val="center"/>
          </w:tcPr>
          <w:p w14:paraId="60144146" w14:textId="77777777" w:rsidR="00CB6A19" w:rsidRDefault="00000000">
            <w:pPr>
              <w:pStyle w:val="Compact"/>
              <w:jc w:val="center"/>
            </w:pPr>
            <w:r>
              <w:t>real-time intel support</w:t>
            </w:r>
          </w:p>
        </w:tc>
        <w:tc>
          <w:tcPr>
            <w:tcW w:w="0" w:type="auto"/>
            <w:vAlign w:val="center"/>
          </w:tcPr>
          <w:p w14:paraId="0418FE3D" w14:textId="77777777" w:rsidR="00CB6A19" w:rsidRDefault="00000000">
            <w:pPr>
              <w:pStyle w:val="Compact"/>
              <w:jc w:val="center"/>
            </w:pPr>
            <w:r>
              <w:t>place vs operations focus</w:t>
            </w:r>
          </w:p>
        </w:tc>
      </w:tr>
      <w:tr w:rsidR="00CB6A19" w14:paraId="120258D8" w14:textId="77777777">
        <w:tc>
          <w:tcPr>
            <w:tcW w:w="0" w:type="auto"/>
            <w:vAlign w:val="center"/>
          </w:tcPr>
          <w:p w14:paraId="5CD34B82" w14:textId="77777777" w:rsidR="00CB6A19" w:rsidRDefault="00000000">
            <w:pPr>
              <w:pStyle w:val="Compact"/>
              <w:jc w:val="center"/>
            </w:pPr>
            <w:r>
              <w:t>Inputs</w:t>
            </w:r>
          </w:p>
        </w:tc>
        <w:tc>
          <w:tcPr>
            <w:tcW w:w="0" w:type="auto"/>
            <w:vAlign w:val="center"/>
          </w:tcPr>
          <w:p w14:paraId="310493EB" w14:textId="77777777" w:rsidR="00CB6A19" w:rsidRDefault="00000000">
            <w:pPr>
              <w:pStyle w:val="Compact"/>
              <w:jc w:val="center"/>
            </w:pPr>
            <w:r>
              <w:t>incident logs</w:t>
            </w:r>
          </w:p>
        </w:tc>
        <w:tc>
          <w:tcPr>
            <w:tcW w:w="0" w:type="auto"/>
            <w:vAlign w:val="center"/>
          </w:tcPr>
          <w:p w14:paraId="17AB621C" w14:textId="77777777" w:rsidR="00CB6A19" w:rsidRDefault="00000000">
            <w:pPr>
              <w:pStyle w:val="Compact"/>
              <w:jc w:val="center"/>
            </w:pPr>
            <w:r>
              <w:t>incidents + POI/GIS</w:t>
            </w:r>
          </w:p>
        </w:tc>
        <w:tc>
          <w:tcPr>
            <w:tcW w:w="0" w:type="auto"/>
            <w:vAlign w:val="center"/>
          </w:tcPr>
          <w:p w14:paraId="24DF8771" w14:textId="77777777" w:rsidR="00CB6A19" w:rsidRDefault="00000000">
            <w:pPr>
              <w:pStyle w:val="Compact"/>
              <w:jc w:val="center"/>
            </w:pPr>
            <w:r>
              <w:t>multi-source streams</w:t>
            </w:r>
          </w:p>
        </w:tc>
        <w:tc>
          <w:tcPr>
            <w:tcW w:w="0" w:type="auto"/>
            <w:vAlign w:val="center"/>
          </w:tcPr>
          <w:p w14:paraId="2E5BC787" w14:textId="77777777" w:rsidR="00CB6A19" w:rsidRDefault="00000000">
            <w:pPr>
              <w:pStyle w:val="Compact"/>
              <w:jc w:val="center"/>
            </w:pPr>
            <w:r>
              <w:t>data provenance varies</w:t>
            </w:r>
          </w:p>
        </w:tc>
      </w:tr>
      <w:tr w:rsidR="00CB6A19" w14:paraId="161386D2" w14:textId="77777777">
        <w:tc>
          <w:tcPr>
            <w:tcW w:w="0" w:type="auto"/>
            <w:vAlign w:val="center"/>
          </w:tcPr>
          <w:p w14:paraId="7F16FEED" w14:textId="77777777" w:rsidR="00CB6A19" w:rsidRDefault="00000000">
            <w:pPr>
              <w:pStyle w:val="Compact"/>
              <w:jc w:val="center"/>
            </w:pPr>
            <w:r>
              <w:t>Methods</w:t>
            </w:r>
          </w:p>
        </w:tc>
        <w:tc>
          <w:tcPr>
            <w:tcW w:w="0" w:type="auto"/>
            <w:vAlign w:val="center"/>
          </w:tcPr>
          <w:p w14:paraId="303ECD99" w14:textId="77777777" w:rsidR="00CB6A19" w:rsidRDefault="00000000">
            <w:pPr>
              <w:pStyle w:val="Compact"/>
              <w:jc w:val="center"/>
            </w:pPr>
            <w:r>
              <w:t>SEPP/Hawkes</w:t>
            </w:r>
          </w:p>
        </w:tc>
        <w:tc>
          <w:tcPr>
            <w:tcW w:w="0" w:type="auto"/>
            <w:vAlign w:val="center"/>
          </w:tcPr>
          <w:p w14:paraId="74623807" w14:textId="77777777" w:rsidR="00CB6A19" w:rsidRDefault="00000000">
            <w:pPr>
              <w:pStyle w:val="Compact"/>
              <w:jc w:val="center"/>
            </w:pPr>
            <w:r>
              <w:t>risk layers + models</w:t>
            </w:r>
          </w:p>
        </w:tc>
        <w:tc>
          <w:tcPr>
            <w:tcW w:w="0" w:type="auto"/>
            <w:vAlign w:val="center"/>
          </w:tcPr>
          <w:p w14:paraId="770C4F63" w14:textId="77777777" w:rsidR="00CB6A19" w:rsidRDefault="00000000">
            <w:pPr>
              <w:pStyle w:val="Compact"/>
              <w:jc w:val="center"/>
            </w:pPr>
            <w:r>
              <w:t>fusion + SOP + analysts</w:t>
            </w:r>
          </w:p>
        </w:tc>
        <w:tc>
          <w:tcPr>
            <w:tcW w:w="0" w:type="auto"/>
            <w:vAlign w:val="center"/>
          </w:tcPr>
          <w:p w14:paraId="2E4E8A11" w14:textId="77777777" w:rsidR="00CB6A19" w:rsidRDefault="00000000">
            <w:pPr>
              <w:pStyle w:val="Compact"/>
              <w:jc w:val="center"/>
            </w:pPr>
            <w:r>
              <w:t>human-in-the-loop strongest in RTCCs</w:t>
            </w:r>
          </w:p>
        </w:tc>
      </w:tr>
      <w:tr w:rsidR="00CB6A19" w14:paraId="5B068E50" w14:textId="77777777">
        <w:tc>
          <w:tcPr>
            <w:tcW w:w="0" w:type="auto"/>
            <w:vAlign w:val="center"/>
          </w:tcPr>
          <w:p w14:paraId="0627D533" w14:textId="77777777" w:rsidR="00CB6A19" w:rsidRDefault="00000000">
            <w:pPr>
              <w:pStyle w:val="Compact"/>
              <w:jc w:val="center"/>
            </w:pPr>
            <w:r>
              <w:t>Evidence</w:t>
            </w:r>
          </w:p>
        </w:tc>
        <w:tc>
          <w:tcPr>
            <w:tcW w:w="0" w:type="auto"/>
            <w:vAlign w:val="center"/>
          </w:tcPr>
          <w:p w14:paraId="412AADC4" w14:textId="77777777" w:rsidR="00CB6A19" w:rsidRDefault="00000000">
            <w:pPr>
              <w:pStyle w:val="Compact"/>
              <w:jc w:val="center"/>
            </w:pPr>
            <w:r>
              <w:t xml:space="preserve">clustered lift </w:t>
            </w:r>
            <w:r>
              <w:rPr>
                <w:vertAlign w:val="superscript"/>
              </w:rPr>
              <w:t>[3]</w:t>
            </w:r>
          </w:p>
        </w:tc>
        <w:tc>
          <w:tcPr>
            <w:tcW w:w="0" w:type="auto"/>
            <w:vAlign w:val="center"/>
          </w:tcPr>
          <w:p w14:paraId="1D590070" w14:textId="77777777" w:rsidR="00CB6A19" w:rsidRDefault="00000000">
            <w:pPr>
              <w:pStyle w:val="Compact"/>
              <w:jc w:val="center"/>
            </w:pPr>
            <w:r>
              <w:t xml:space="preserve">case-study gains </w:t>
            </w:r>
            <w:r>
              <w:rPr>
                <w:vertAlign w:val="superscript"/>
              </w:rPr>
              <w:t>[4]</w:t>
            </w:r>
          </w:p>
        </w:tc>
        <w:tc>
          <w:tcPr>
            <w:tcW w:w="0" w:type="auto"/>
            <w:vAlign w:val="center"/>
          </w:tcPr>
          <w:p w14:paraId="7A72800E" w14:textId="77777777" w:rsidR="00CB6A19" w:rsidRDefault="00000000">
            <w:pPr>
              <w:pStyle w:val="Compact"/>
              <w:jc w:val="center"/>
            </w:pPr>
            <w:r>
              <w:t xml:space="preserve">reported district-level reductions </w:t>
            </w:r>
            <w:r>
              <w:rPr>
                <w:vertAlign w:val="superscript"/>
              </w:rPr>
              <w:t>[8]</w:t>
            </w:r>
          </w:p>
        </w:tc>
        <w:tc>
          <w:tcPr>
            <w:tcW w:w="0" w:type="auto"/>
            <w:vAlign w:val="center"/>
          </w:tcPr>
          <w:p w14:paraId="15A7A235" w14:textId="77777777" w:rsidR="00CB6A19" w:rsidRDefault="00000000">
            <w:pPr>
              <w:pStyle w:val="Compact"/>
              <w:jc w:val="center"/>
            </w:pPr>
            <w:r>
              <w:t>deployment matters</w:t>
            </w:r>
          </w:p>
        </w:tc>
      </w:tr>
      <w:tr w:rsidR="00CB6A19" w14:paraId="327078A3" w14:textId="77777777">
        <w:tc>
          <w:tcPr>
            <w:tcW w:w="0" w:type="auto"/>
            <w:vAlign w:val="center"/>
          </w:tcPr>
          <w:p w14:paraId="258E82B5" w14:textId="77777777" w:rsidR="00CB6A19" w:rsidRDefault="00000000">
            <w:pPr>
              <w:pStyle w:val="Compact"/>
              <w:jc w:val="center"/>
            </w:pPr>
            <w:r>
              <w:t>Limitations</w:t>
            </w:r>
          </w:p>
        </w:tc>
        <w:tc>
          <w:tcPr>
            <w:tcW w:w="0" w:type="auto"/>
            <w:vAlign w:val="center"/>
          </w:tcPr>
          <w:p w14:paraId="673925F4" w14:textId="77777777" w:rsidR="00CB6A19" w:rsidRDefault="00000000">
            <w:pPr>
              <w:pStyle w:val="Compact"/>
              <w:jc w:val="center"/>
            </w:pPr>
            <w:r>
              <w:t xml:space="preserve">record bias + patrol feedback </w:t>
            </w:r>
            <w:r>
              <w:rPr>
                <w:vertAlign w:val="superscript"/>
              </w:rPr>
              <w:t>[5], [6]</w:t>
            </w:r>
          </w:p>
        </w:tc>
        <w:tc>
          <w:tcPr>
            <w:tcW w:w="0" w:type="auto"/>
            <w:vAlign w:val="center"/>
          </w:tcPr>
          <w:p w14:paraId="1671F76E" w14:textId="77777777" w:rsidR="00CB6A19" w:rsidRDefault="00000000">
            <w:pPr>
              <w:pStyle w:val="Compact"/>
              <w:jc w:val="center"/>
            </w:pPr>
            <w:r>
              <w:t xml:space="preserve">POI quality + confounding </w:t>
            </w:r>
            <w:r>
              <w:rPr>
                <w:vertAlign w:val="superscript"/>
              </w:rPr>
              <w:t>[4]</w:t>
            </w:r>
          </w:p>
        </w:tc>
        <w:tc>
          <w:tcPr>
            <w:tcW w:w="0" w:type="auto"/>
            <w:vAlign w:val="center"/>
          </w:tcPr>
          <w:p w14:paraId="2D2DFF1E" w14:textId="77777777" w:rsidR="00CB6A19" w:rsidRDefault="00000000">
            <w:pPr>
              <w:pStyle w:val="Compact"/>
              <w:jc w:val="center"/>
            </w:pPr>
            <w:r>
              <w:t xml:space="preserve">attribution + governance </w:t>
            </w:r>
            <w:r>
              <w:rPr>
                <w:vertAlign w:val="superscript"/>
              </w:rPr>
              <w:t>[8]</w:t>
            </w:r>
          </w:p>
        </w:tc>
        <w:tc>
          <w:tcPr>
            <w:tcW w:w="0" w:type="auto"/>
            <w:vAlign w:val="center"/>
          </w:tcPr>
          <w:p w14:paraId="58A0F8AA" w14:textId="77777777" w:rsidR="00CB6A19" w:rsidRDefault="00000000">
            <w:pPr>
              <w:pStyle w:val="Compact"/>
              <w:jc w:val="center"/>
            </w:pPr>
            <w:r>
              <w:t>metrics mismatch common</w:t>
            </w:r>
          </w:p>
        </w:tc>
      </w:tr>
    </w:tbl>
    <w:p w14:paraId="1FD0C7C1" w14:textId="77777777" w:rsidR="00CB6A19" w:rsidRDefault="00000000">
      <w:pPr>
        <w:pStyle w:val="2"/>
        <w:rPr>
          <w:b/>
          <w:bCs/>
          <w:color w:val="000000" w:themeColor="text1"/>
          <w:sz w:val="24"/>
          <w:szCs w:val="24"/>
        </w:rPr>
      </w:pPr>
      <w:bookmarkStart w:id="7" w:name="evaluation-challenges-and-controversies"/>
      <w:bookmarkEnd w:id="6"/>
      <w:r>
        <w:rPr>
          <w:b/>
          <w:bCs/>
          <w:color w:val="000000" w:themeColor="text1"/>
          <w:sz w:val="24"/>
          <w:szCs w:val="24"/>
        </w:rPr>
        <w:t>Evaluation challenges and controversies</w:t>
      </w:r>
    </w:p>
    <w:p w14:paraId="278BF5FB" w14:textId="77777777" w:rsidR="00CB6A19" w:rsidRDefault="00000000">
      <w:pPr>
        <w:pStyle w:val="FirstParagraph"/>
      </w:pPr>
      <w:r>
        <w:t xml:space="preserve">Counterfactuals are unobserved: before–after declines may reflect secular trends or regression to the mean rather than tool impact </w:t>
      </w:r>
      <w:r>
        <w:rPr>
          <w:vertAlign w:val="superscript"/>
        </w:rPr>
        <w:t>[1]</w:t>
      </w:r>
      <w:r>
        <w:t>.</w:t>
      </w:r>
      <w:r>
        <w:rPr>
          <w:rFonts w:hint="eastAsia"/>
        </w:rPr>
        <w:t xml:space="preserve"> </w:t>
      </w:r>
      <w:r>
        <w:t xml:space="preserve">Confounding is substantial because patrol intensity and concurrent initiatives can shift alongside outcomes and the recorded inputs used for training </w:t>
      </w:r>
      <w:r>
        <w:rPr>
          <w:vertAlign w:val="superscript"/>
        </w:rPr>
        <w:t>[1]</w:t>
      </w:r>
      <w:r>
        <w:t xml:space="preserve">. </w:t>
      </w:r>
      <w:r>
        <w:lastRenderedPageBreak/>
        <w:t xml:space="preserve">Metrics mismatch arises when “success” uses arrests or other discovered events—signals shaped by deployment and thus partly measuring policing activity </w:t>
      </w:r>
      <w:r>
        <w:rPr>
          <w:vertAlign w:val="superscript"/>
        </w:rPr>
        <w:t>[6]</w:t>
      </w:r>
      <w:r>
        <w:t xml:space="preserve">. Measurement bias follows because police records reflect differential reporting and enforcement; “dirty data” can therefore skew model training and accountability </w:t>
      </w:r>
      <w:r>
        <w:rPr>
          <w:vertAlign w:val="superscript"/>
        </w:rPr>
        <w:t>[7]</w:t>
      </w:r>
      <w:r>
        <w:t xml:space="preserve">. Feedback-loop analyses further show that updating models with discovered data can create runaway allocation back to the same neighborhoods even under equal underlying crime rates </w:t>
      </w:r>
      <w:r>
        <w:rPr>
          <w:vertAlign w:val="superscript"/>
        </w:rPr>
        <w:t>[6]</w:t>
      </w:r>
      <w:r>
        <w:t xml:space="preserve">. RTCC-style integration concentrates sensitive information, raising privacy and fairness exposure if access control and auditability are weak </w:t>
      </w:r>
      <w:r>
        <w:rPr>
          <w:vertAlign w:val="superscript"/>
        </w:rPr>
        <w:t>[8]</w:t>
      </w:r>
      <w:r>
        <w:t xml:space="preserve">. </w:t>
      </w:r>
    </w:p>
    <w:p w14:paraId="3F6860DF" w14:textId="77777777" w:rsidR="00CB6A19" w:rsidRDefault="00000000">
      <w:pPr>
        <w:pStyle w:val="2"/>
        <w:rPr>
          <w:b/>
          <w:bCs/>
          <w:color w:val="000000" w:themeColor="text1"/>
          <w:sz w:val="24"/>
          <w:szCs w:val="24"/>
        </w:rPr>
      </w:pPr>
      <w:bookmarkStart w:id="8" w:name="Xb843f6592d15fedf9c60fae499f254d05dc6190"/>
      <w:bookmarkEnd w:id="7"/>
      <w:r>
        <w:rPr>
          <w:b/>
          <w:bCs/>
          <w:color w:val="000000" w:themeColor="text1"/>
          <w:sz w:val="24"/>
          <w:szCs w:val="24"/>
        </w:rPr>
        <w:t>Actionable Phase 2 audit and mitigation strategies</w:t>
      </w:r>
    </w:p>
    <w:p w14:paraId="225917D1" w14:textId="77777777" w:rsidR="00CB6A19" w:rsidRDefault="00000000">
      <w:pPr>
        <w:pStyle w:val="FirstParagraph"/>
      </w:pPr>
      <w:r>
        <w:t>We can implement: (</w:t>
      </w:r>
      <w:proofErr w:type="spellStart"/>
      <w:r>
        <w:t>i</w:t>
      </w:r>
      <w:proofErr w:type="spellEnd"/>
      <w:r>
        <w:t xml:space="preserve">) data provenance and label-sensitivity tests (reported-only vs all records), plus missingness/coding/geocoding drift checks </w:t>
      </w:r>
      <w:r>
        <w:rPr>
          <w:vertAlign w:val="superscript"/>
        </w:rPr>
        <w:t>[6], [7]</w:t>
      </w:r>
      <w:r>
        <w:t xml:space="preserve">; (ii) spatiotemporal evaluation (forward-chaining time splits plus spatially blocked cross-validation) with strong baselines (recent-hotspot and seasonal counts) to reduce leakage and confounding </w:t>
      </w:r>
      <w:r>
        <w:rPr>
          <w:vertAlign w:val="superscript"/>
        </w:rPr>
        <w:t>[1]</w:t>
      </w:r>
      <w:r>
        <w:t xml:space="preserve">; and (iii) fairness/feedback diagnostics—calibration and error by area, threshold sensitivity, and exposure adjustment when patrol proxies exist </w:t>
      </w:r>
      <w:r>
        <w:rPr>
          <w:vertAlign w:val="superscript"/>
        </w:rPr>
        <w:t>[5], [6]</w:t>
      </w:r>
      <w:r>
        <w:t xml:space="preserve">. For any RTCC-like pipeline, we should explicitly document access control, retention limits, and audit trails </w:t>
      </w:r>
      <w:r>
        <w:rPr>
          <w:vertAlign w:val="superscript"/>
        </w:rPr>
        <w:t>[8]</w:t>
      </w:r>
      <w:r>
        <w:t>.</w:t>
      </w:r>
    </w:p>
    <w:p w14:paraId="4EF3675F" w14:textId="77777777" w:rsidR="00CB6A19" w:rsidRDefault="00000000">
      <w:pPr>
        <w:pStyle w:val="2"/>
        <w:rPr>
          <w:b/>
          <w:bCs/>
          <w:color w:val="000000" w:themeColor="text1"/>
          <w:sz w:val="24"/>
          <w:szCs w:val="24"/>
        </w:rPr>
      </w:pPr>
      <w:bookmarkStart w:id="9" w:name="phase-2-method-recommendations"/>
      <w:bookmarkEnd w:id="8"/>
      <w:r>
        <w:rPr>
          <w:b/>
          <w:bCs/>
          <w:color w:val="000000" w:themeColor="text1"/>
          <w:sz w:val="24"/>
          <w:szCs w:val="24"/>
        </w:rPr>
        <w:t>Phase 2 method recommendations</w:t>
      </w:r>
    </w:p>
    <w:p w14:paraId="6AD1750F" w14:textId="77777777" w:rsidR="00CB6A19" w:rsidRDefault="00000000">
      <w:pPr>
        <w:pStyle w:val="FirstParagraph"/>
      </w:pPr>
      <w:r>
        <w:t xml:space="preserve">If we pursue hotspot prediction, we should implement SEPP/Hawkes plus KDE/rolling-count baselines and report hit-rate at fixed coverage under spatiotemporal CV </w:t>
      </w:r>
      <w:r>
        <w:rPr>
          <w:vertAlign w:val="superscript"/>
        </w:rPr>
        <w:t>[3]</w:t>
      </w:r>
      <w:r>
        <w:t xml:space="preserve">. If we pursue feature-based risk, we should curate POI/GIS layers early, prefer interpretable models, and pair performance with calibration and subgroup audits </w:t>
      </w:r>
      <w:r>
        <w:rPr>
          <w:vertAlign w:val="superscript"/>
        </w:rPr>
        <w:t>[4], [5]</w:t>
      </w:r>
      <w:r>
        <w:t xml:space="preserve">. If we pursue an RTCC-oriented prototype, we should scope to near-real-time triage/visual analytics and treat the deliverable as decision support with explicit governance constraints (access control, retention limits, auditability) </w:t>
      </w:r>
      <w:r>
        <w:rPr>
          <w:vertAlign w:val="superscript"/>
        </w:rPr>
        <w:t>[8]</w:t>
      </w:r>
      <w:r>
        <w:t xml:space="preserve">. </w:t>
      </w:r>
      <w:bookmarkStart w:id="10" w:name="core-references-in-ieee-format"/>
      <w:bookmarkEnd w:id="9"/>
    </w:p>
    <w:p w14:paraId="0084C095" w14:textId="77777777" w:rsidR="00CB6A19" w:rsidRDefault="00000000">
      <w:pPr>
        <w:pStyle w:val="2"/>
      </w:pPr>
      <w:r>
        <w:rPr>
          <w:rFonts w:hint="eastAsia"/>
          <w:b/>
          <w:bCs/>
          <w:color w:val="000000" w:themeColor="text1"/>
          <w:sz w:val="24"/>
          <w:szCs w:val="24"/>
        </w:rPr>
        <w:t>Modeling toolkit</w:t>
      </w:r>
    </w:p>
    <w:p w14:paraId="7FDCB89E" w14:textId="77777777" w:rsidR="00CB6A19" w:rsidRDefault="00000000">
      <w:pPr>
        <w:pStyle w:val="a0"/>
      </w:pPr>
      <w:r>
        <w:rPr>
          <w:rFonts w:hint="eastAsia"/>
        </w:rPr>
        <w:t xml:space="preserve">Much of the research frames predictive policing as a family of </w:t>
      </w:r>
      <w:proofErr w:type="spellStart"/>
      <w:r>
        <w:rPr>
          <w:rFonts w:hint="eastAsia"/>
        </w:rPr>
        <w:t>spatio</w:t>
      </w:r>
      <w:proofErr w:type="spellEnd"/>
      <w:r>
        <w:rPr>
          <w:rFonts w:hint="eastAsia"/>
        </w:rPr>
        <w:t>-temporal forecasting problems. In practice, studies differ mainly in (</w:t>
      </w:r>
      <w:proofErr w:type="spellStart"/>
      <w:r>
        <w:rPr>
          <w:rFonts w:hint="eastAsia"/>
        </w:rPr>
        <w:t>i</w:t>
      </w:r>
      <w:proofErr w:type="spellEnd"/>
      <w:r>
        <w:rPr>
          <w:rFonts w:hint="eastAsia"/>
        </w:rPr>
        <w:t>) what is predicted (places, potential offenders, group patterns, or potential victims), (ii) where predictions are defined (grids, administrative units, street segments), and (iii) how far ahead the forecast is made (next shift, day, or week). This modular framing is particularly common in systematic reviews because it enables comparison across studies without forcing an early commitment to a single operational task.</w:t>
      </w:r>
    </w:p>
    <w:p w14:paraId="51A370D9" w14:textId="77777777" w:rsidR="00CB6A19" w:rsidRDefault="00000000">
      <w:pPr>
        <w:pStyle w:val="a0"/>
      </w:pPr>
      <w:r>
        <w:rPr>
          <w:rFonts w:hint="eastAsia"/>
        </w:rPr>
        <w:t xml:space="preserve">Despite differences in targets and granularity, the modeling pipeline is fairly consistent: researchers first set the prediction target and </w:t>
      </w:r>
      <w:proofErr w:type="spellStart"/>
      <w:r>
        <w:rPr>
          <w:rFonts w:hint="eastAsia"/>
        </w:rPr>
        <w:t>spatio</w:t>
      </w:r>
      <w:proofErr w:type="spellEnd"/>
      <w:r>
        <w:rPr>
          <w:rFonts w:hint="eastAsia"/>
        </w:rPr>
        <w:t xml:space="preserve">-temporal resolution, then derive features that encode historical patterns and contextual information, train one or more models, and evaluate performance under time-respecting validation that reflects real forecasting constraints. </w:t>
      </w:r>
      <w:r>
        <w:rPr>
          <w:rFonts w:hint="eastAsia"/>
          <w:vertAlign w:val="superscript"/>
        </w:rPr>
        <w:t>[9]</w:t>
      </w:r>
      <w:r>
        <w:rPr>
          <w:rFonts w:hint="eastAsia"/>
        </w:rPr>
        <w:t xml:space="preserve"> For place-based prediction, the dominant formulations are either (a) hotspot classification (high-risk vs. not) or (b) forecasting counts/rates per spatial unit over a fixed window. </w:t>
      </w:r>
      <w:r>
        <w:rPr>
          <w:rFonts w:hint="eastAsia"/>
          <w:vertAlign w:val="superscript"/>
        </w:rPr>
        <w:t>[9]</w:t>
      </w:r>
    </w:p>
    <w:p w14:paraId="062D05FC" w14:textId="77777777" w:rsidR="00CB6A19" w:rsidRDefault="00000000">
      <w:pPr>
        <w:pStyle w:val="a0"/>
        <w:rPr>
          <w:vertAlign w:val="superscript"/>
        </w:rPr>
      </w:pPr>
      <w:r>
        <w:rPr>
          <w:rFonts w:hint="eastAsia"/>
        </w:rPr>
        <w:t>A recurring methodological takeaway is that sophisticated models should be judged against strong, interpretable baselines</w:t>
      </w:r>
      <w:r>
        <w:rPr>
          <w:rFonts w:hint="eastAsia"/>
        </w:rPr>
        <w:t>—</w:t>
      </w:r>
      <w:r>
        <w:rPr>
          <w:rFonts w:hint="eastAsia"/>
        </w:rPr>
        <w:t>such as recent-count heuristics, seasonal averages, and KDE-style hotspot maps</w:t>
      </w:r>
      <w:r>
        <w:t xml:space="preserve">, </w:t>
      </w:r>
      <w:r>
        <w:rPr>
          <w:rFonts w:hint="eastAsia"/>
        </w:rPr>
        <w:t xml:space="preserve">because baseline choice and evaluation design can explain much of the apparent performance gap across methods. </w:t>
      </w:r>
      <w:r>
        <w:rPr>
          <w:rFonts w:hint="eastAsia"/>
          <w:vertAlign w:val="superscript"/>
        </w:rPr>
        <w:t>[11]</w:t>
      </w:r>
      <w:r>
        <w:rPr>
          <w:rFonts w:hint="eastAsia"/>
        </w:rPr>
        <w:t xml:space="preserve"> Recent reviews also document wide use of supervised ML (e.g., tree ensembles, SVMs, and deep learning variants), while cautioning that cross-paper comparisons are often fragile due to inconsistent datasets, aggregation schemes, and validation protocols. </w:t>
      </w:r>
      <w:r>
        <w:rPr>
          <w:rFonts w:hint="eastAsia"/>
          <w:vertAlign w:val="superscript"/>
        </w:rPr>
        <w:t>[9,10]</w:t>
      </w:r>
    </w:p>
    <w:p w14:paraId="084B3D29" w14:textId="77777777" w:rsidR="00CB6A19" w:rsidRDefault="00000000">
      <w:pPr>
        <w:pStyle w:val="a0"/>
        <w:rPr>
          <w:vertAlign w:val="superscript"/>
        </w:rPr>
      </w:pPr>
      <w:r>
        <w:rPr>
          <w:rFonts w:hint="eastAsia"/>
        </w:rPr>
        <w:t xml:space="preserve">Beyond generic supervised learning, the near-repeat literature offers a criminological lens: certain crime types exhibit short-term clustering consistent with </w:t>
      </w:r>
      <w:r>
        <w:t>“</w:t>
      </w:r>
      <w:r>
        <w:rPr>
          <w:rFonts w:hint="eastAsia"/>
        </w:rPr>
        <w:t>boost</w:t>
      </w:r>
      <w:r>
        <w:t>”</w:t>
      </w:r>
      <w:r>
        <w:rPr>
          <w:rFonts w:hint="eastAsia"/>
        </w:rPr>
        <w:t xml:space="preserve"> mechanisms, motivating features that explicitly encode proximity in time and space to recent incidents. </w:t>
      </w:r>
      <w:r>
        <w:rPr>
          <w:rFonts w:hint="eastAsia"/>
          <w:vertAlign w:val="superscript"/>
        </w:rPr>
        <w:t>[14]</w:t>
      </w:r>
      <w:r>
        <w:rPr>
          <w:rFonts w:hint="eastAsia"/>
        </w:rPr>
        <w:t xml:space="preserve"> Related work further distinguishes </w:t>
      </w:r>
      <w:r>
        <w:t>“</w:t>
      </w:r>
      <w:r>
        <w:rPr>
          <w:rFonts w:hint="eastAsia"/>
        </w:rPr>
        <w:t>initiator</w:t>
      </w:r>
      <w:r>
        <w:t>”</w:t>
      </w:r>
      <w:r>
        <w:rPr>
          <w:rFonts w:hint="eastAsia"/>
        </w:rPr>
        <w:t xml:space="preserve"> incidents from subsequent near-repeat events and studies when near-repeat chains are more likely to form, which can inform prevention-oriented modeling decisions without prescribing a single algorithm.</w:t>
      </w:r>
      <w:r>
        <w:rPr>
          <w:rFonts w:hint="eastAsia"/>
          <w:vertAlign w:val="superscript"/>
        </w:rPr>
        <w:t xml:space="preserve"> [15]</w:t>
      </w:r>
    </w:p>
    <w:p w14:paraId="4976129B" w14:textId="77777777" w:rsidR="00CB6A19" w:rsidRDefault="00000000">
      <w:pPr>
        <w:pStyle w:val="a0"/>
        <w:rPr>
          <w:vertAlign w:val="superscript"/>
        </w:rPr>
      </w:pPr>
      <w:r>
        <w:rPr>
          <w:rFonts w:hint="eastAsia"/>
        </w:rPr>
        <w:t xml:space="preserve">A smaller line of work explores external signals (e.g., social media); for instance, one study combines geotagged Twitter information with kernel density estimation. </w:t>
      </w:r>
      <w:r>
        <w:rPr>
          <w:rFonts w:hint="eastAsia"/>
          <w:vertAlign w:val="superscript"/>
        </w:rPr>
        <w:t xml:space="preserve">[16] </w:t>
      </w:r>
    </w:p>
    <w:p w14:paraId="51B48D70" w14:textId="77777777" w:rsidR="00CB6A19" w:rsidRDefault="00000000">
      <w:pPr>
        <w:pStyle w:val="a0"/>
        <w:rPr>
          <w:vertAlign w:val="superscript"/>
        </w:rPr>
      </w:pPr>
      <w:r>
        <w:rPr>
          <w:rFonts w:hint="eastAsia"/>
        </w:rPr>
        <w:t xml:space="preserve">However, evidence from systematic reviews suggests treating such signals as optional add-ons, integrated modularly and tested explicitly for robustness across time and geography rather than assumed to generalize. </w:t>
      </w:r>
      <w:r>
        <w:rPr>
          <w:rFonts w:hint="eastAsia"/>
          <w:vertAlign w:val="superscript"/>
        </w:rPr>
        <w:t>[9]</w:t>
      </w:r>
    </w:p>
    <w:p w14:paraId="16A2E652" w14:textId="77777777" w:rsidR="00CB6A19" w:rsidRDefault="00000000">
      <w:pPr>
        <w:pStyle w:val="2"/>
        <w:rPr>
          <w:b/>
          <w:bCs/>
          <w:color w:val="000000" w:themeColor="text1"/>
          <w:sz w:val="24"/>
          <w:szCs w:val="24"/>
        </w:rPr>
      </w:pPr>
      <w:r>
        <w:rPr>
          <w:rFonts w:hint="eastAsia"/>
          <w:b/>
          <w:bCs/>
          <w:color w:val="000000" w:themeColor="text1"/>
          <w:sz w:val="24"/>
          <w:szCs w:val="24"/>
        </w:rPr>
        <w:lastRenderedPageBreak/>
        <w:t>Feature engineering</w:t>
      </w:r>
    </w:p>
    <w:p w14:paraId="026A8919" w14:textId="77777777" w:rsidR="00CB6A19" w:rsidRDefault="00000000">
      <w:pPr>
        <w:pStyle w:val="a0"/>
      </w:pPr>
      <w:r>
        <w:rPr>
          <w:rFonts w:hint="eastAsia"/>
        </w:rPr>
        <w:t xml:space="preserve">Feature engineering in predictive policing typically follows the same </w:t>
      </w:r>
      <w:proofErr w:type="spellStart"/>
      <w:r>
        <w:rPr>
          <w:rFonts w:hint="eastAsia"/>
        </w:rPr>
        <w:t>spatio</w:t>
      </w:r>
      <w:proofErr w:type="spellEnd"/>
      <w:r>
        <w:rPr>
          <w:rFonts w:hint="eastAsia"/>
        </w:rPr>
        <w:t xml:space="preserve">-temporal logic. On the temporal side, common choices include hour, day-of-week, month/seasonality, and rolling-window summaries (e.g., incident counts in the last 1/7/28 days). Reviews repeatedly emphasize that forecast horizon and window definitions can materially change results and therefore need to be documented precisely. </w:t>
      </w:r>
      <w:r>
        <w:rPr>
          <w:rFonts w:hint="eastAsia"/>
          <w:vertAlign w:val="superscript"/>
        </w:rPr>
        <w:t>[9]</w:t>
      </w:r>
    </w:p>
    <w:p w14:paraId="4C1A2520" w14:textId="77777777" w:rsidR="00CB6A19" w:rsidRDefault="00000000">
      <w:pPr>
        <w:pStyle w:val="a0"/>
        <w:rPr>
          <w:vertAlign w:val="superscript"/>
        </w:rPr>
      </w:pPr>
      <w:r>
        <w:rPr>
          <w:rFonts w:hint="eastAsia"/>
        </w:rPr>
        <w:t xml:space="preserve">Spatial feature design usually begins by selecting a defensible unit of analysis (grid cells, beats/areas, or street segments) and then adding neighborhood context through spatial lags, adjacency-based counts, and distance-decay summaries. </w:t>
      </w:r>
      <w:r>
        <w:rPr>
          <w:rFonts w:hint="eastAsia"/>
          <w:vertAlign w:val="superscript"/>
        </w:rPr>
        <w:t>[9]</w:t>
      </w:r>
      <w:r>
        <w:rPr>
          <w:rFonts w:hint="eastAsia"/>
        </w:rPr>
        <w:t xml:space="preserve"> Because location is the backbone of hotspot prediction, NIJ-supported work highlights that geocoding quality and positional accuracy can meaningfully affect hotspot outputs and evaluation outcomes, making spatial data auditing a substantive part of the workflow rather than a minor preprocessing step. </w:t>
      </w:r>
      <w:r>
        <w:rPr>
          <w:rFonts w:hint="eastAsia"/>
          <w:vertAlign w:val="superscript"/>
        </w:rPr>
        <w:t>[12]</w:t>
      </w:r>
    </w:p>
    <w:p w14:paraId="220F1A71" w14:textId="77777777" w:rsidR="00CB6A19" w:rsidRDefault="00000000">
      <w:pPr>
        <w:pStyle w:val="a0"/>
      </w:pPr>
      <w:r>
        <w:rPr>
          <w:rFonts w:hint="eastAsia"/>
        </w:rPr>
        <w:t xml:space="preserve">To capture </w:t>
      </w:r>
      <w:proofErr w:type="spellStart"/>
      <w:r>
        <w:rPr>
          <w:rFonts w:hint="eastAsia"/>
        </w:rPr>
        <w:t>spatio</w:t>
      </w:r>
      <w:proofErr w:type="spellEnd"/>
      <w:r>
        <w:rPr>
          <w:rFonts w:hint="eastAsia"/>
        </w:rPr>
        <w:t xml:space="preserve">-temporal interaction effects, many studies include features such as </w:t>
      </w:r>
      <w:r>
        <w:t>“</w:t>
      </w:r>
      <w:r>
        <w:rPr>
          <w:rFonts w:hint="eastAsia"/>
        </w:rPr>
        <w:t>events within radius R during window T,</w:t>
      </w:r>
      <w:r>
        <w:t>”</w:t>
      </w:r>
      <w:r>
        <w:rPr>
          <w:rFonts w:hint="eastAsia"/>
        </w:rPr>
        <w:t xml:space="preserve"> time since the last nearby incident, and distances to recent incidents</w:t>
      </w:r>
      <w:r>
        <w:rPr>
          <w:rFonts w:hint="eastAsia"/>
        </w:rPr>
        <w:t>—</w:t>
      </w:r>
      <w:r>
        <w:rPr>
          <w:rFonts w:hint="eastAsia"/>
        </w:rPr>
        <w:t xml:space="preserve">features that align naturally with near-repeat mechanisms described in criminology. </w:t>
      </w:r>
      <w:r>
        <w:rPr>
          <w:rFonts w:hint="eastAsia"/>
          <w:vertAlign w:val="superscript"/>
        </w:rPr>
        <w:t xml:space="preserve">[14,15] </w:t>
      </w:r>
      <w:r>
        <w:rPr>
          <w:rFonts w:hint="eastAsia"/>
        </w:rPr>
        <w:t xml:space="preserve">Finally, if external or contextual data </w:t>
      </w:r>
      <w:r>
        <w:t>(</w:t>
      </w:r>
      <w:r>
        <w:rPr>
          <w:rFonts w:hint="eastAsia"/>
        </w:rPr>
        <w:t>e.g., social media, exogenous covariates</w:t>
      </w:r>
      <w:r>
        <w:t>)</w:t>
      </w:r>
      <w:r>
        <w:rPr>
          <w:rFonts w:hint="eastAsia"/>
        </w:rPr>
        <w:t xml:space="preserve"> are introduced, systematic reviews recommend integrating them in a modular way and evaluating them under consistent out-of-time and, where feasible, out-of-area tests.</w:t>
      </w:r>
    </w:p>
    <w:p w14:paraId="3876150D" w14:textId="77777777" w:rsidR="00CB6A19" w:rsidRDefault="00000000">
      <w:pPr>
        <w:pStyle w:val="2"/>
        <w:rPr>
          <w:b/>
          <w:bCs/>
          <w:color w:val="000000" w:themeColor="text1"/>
          <w:sz w:val="24"/>
          <w:szCs w:val="24"/>
        </w:rPr>
      </w:pPr>
      <w:r>
        <w:rPr>
          <w:rFonts w:hint="eastAsia"/>
          <w:b/>
          <w:bCs/>
          <w:color w:val="000000" w:themeColor="text1"/>
          <w:sz w:val="24"/>
          <w:szCs w:val="24"/>
        </w:rPr>
        <w:t>Evaluation design</w:t>
      </w:r>
    </w:p>
    <w:p w14:paraId="25126FD0" w14:textId="77777777" w:rsidR="00CB6A19" w:rsidRDefault="00000000">
      <w:pPr>
        <w:pStyle w:val="a0"/>
      </w:pPr>
      <w:r>
        <w:rPr>
          <w:rFonts w:hint="eastAsia"/>
        </w:rPr>
        <w:t xml:space="preserve">Evaluation in hotspot forecasting is often framed around operational constraints, so coverage-oriented metrics are common. Typical examples include hit rate (the share of future incidents captured within predicted hotspots) and the Predictive Accuracy Index (PAI), which normalizes hit rate by the proportion of area covered. </w:t>
      </w:r>
      <w:r>
        <w:rPr>
          <w:rFonts w:hint="eastAsia"/>
          <w:vertAlign w:val="superscript"/>
        </w:rPr>
        <w:t>[11]</w:t>
      </w:r>
      <w:r>
        <w:rPr>
          <w:rFonts w:hint="eastAsia"/>
        </w:rPr>
        <w:t xml:space="preserve"> </w:t>
      </w:r>
    </w:p>
    <w:p w14:paraId="4F583B1B" w14:textId="77777777" w:rsidR="00CB6A19" w:rsidRDefault="00000000">
      <w:pPr>
        <w:pStyle w:val="a0"/>
        <w:rPr>
          <w:vertAlign w:val="superscript"/>
        </w:rPr>
      </w:pPr>
      <w:r>
        <w:rPr>
          <w:rFonts w:hint="eastAsia"/>
        </w:rPr>
        <w:t xml:space="preserve">Importantly, methodological discussions note that the denominator in PAI-style metrics (e.g., raw geographic area versus street-network exposure) affects interpretation; reports should therefore define metrics explicitly and align them with the intended deployment setting. </w:t>
      </w:r>
      <w:r>
        <w:rPr>
          <w:rFonts w:hint="eastAsia"/>
          <w:vertAlign w:val="superscript"/>
        </w:rPr>
        <w:t>[13]</w:t>
      </w:r>
    </w:p>
    <w:p w14:paraId="06E04BA9" w14:textId="77777777" w:rsidR="00CB6A19" w:rsidRDefault="00000000">
      <w:pPr>
        <w:pStyle w:val="a0"/>
        <w:rPr>
          <w:vertAlign w:val="superscript"/>
        </w:rPr>
      </w:pPr>
      <w:r>
        <w:rPr>
          <w:rFonts w:hint="eastAsia"/>
        </w:rPr>
        <w:t>For forecasting tasks, random cross-validation can leak future information into training. A standard alternative is</w:t>
      </w:r>
      <w:r>
        <w:t> </w:t>
      </w:r>
      <w:r>
        <w:rPr>
          <w:rFonts w:hint="eastAsia"/>
        </w:rPr>
        <w:t>rolling-origin evaluation</w:t>
      </w:r>
      <w:r>
        <w:t> (forward chaining), which repeatedly trains on the past and tests on the next time period. In addition, systematic reviews recommend probing </w:t>
      </w:r>
      <w:r>
        <w:rPr>
          <w:rFonts w:hint="eastAsia"/>
        </w:rPr>
        <w:t>spatial generalization</w:t>
      </w:r>
      <w:r>
        <w:t xml:space="preserve">—for example via spatial blocking or hold-out regions—because models may capture stable geographic differences that do not transfer, especially when generalizing across jurisdictions. </w:t>
      </w:r>
      <w:r>
        <w:rPr>
          <w:vertAlign w:val="superscript"/>
        </w:rPr>
        <w:t xml:space="preserve">[9] </w:t>
      </w:r>
      <w:r>
        <w:t>Finally, because hotspot performance is sensitive to input quality, the evaluation protocol should be paired with explicit </w:t>
      </w:r>
      <w:r>
        <w:rPr>
          <w:rFonts w:hint="eastAsia"/>
        </w:rPr>
        <w:t>data-quality checks</w:t>
      </w:r>
      <w:r>
        <w:t> (notably geocoding accuracy) and sensitivity analyses to clarify how robust results are to measurement noise.</w:t>
      </w:r>
      <w:r>
        <w:rPr>
          <w:vertAlign w:val="superscript"/>
        </w:rPr>
        <w:t xml:space="preserve"> [12] </w:t>
      </w:r>
    </w:p>
    <w:p w14:paraId="65C3457E" w14:textId="77777777" w:rsidR="00CB6A19" w:rsidRDefault="00000000">
      <w:pPr>
        <w:pStyle w:val="2"/>
        <w:rPr>
          <w:b/>
          <w:bCs/>
          <w:color w:val="000000" w:themeColor="text1"/>
          <w:sz w:val="24"/>
          <w:szCs w:val="24"/>
        </w:rPr>
      </w:pPr>
      <w:r>
        <w:rPr>
          <w:rFonts w:hint="eastAsia"/>
          <w:b/>
          <w:bCs/>
          <w:color w:val="000000" w:themeColor="text1"/>
          <w:sz w:val="24"/>
          <w:szCs w:val="24"/>
        </w:rPr>
        <w:t xml:space="preserve">Accountability </w:t>
      </w:r>
      <w:proofErr w:type="gramStart"/>
      <w:r>
        <w:rPr>
          <w:rFonts w:hint="eastAsia"/>
          <w:b/>
          <w:bCs/>
          <w:color w:val="000000" w:themeColor="text1"/>
          <w:sz w:val="24"/>
          <w:szCs w:val="24"/>
        </w:rPr>
        <w:t>note</w:t>
      </w:r>
      <w:proofErr w:type="gramEnd"/>
    </w:p>
    <w:p w14:paraId="0F4DEE55" w14:textId="77777777" w:rsidR="00CB6A19" w:rsidRDefault="00000000">
      <w:pPr>
        <w:pStyle w:val="a0"/>
      </w:pPr>
      <w:r>
        <w:rPr>
          <w:rFonts w:hint="eastAsia"/>
        </w:rPr>
        <w:t>Independent policy analyses argue that predictive policing raises transparency and civil-rights risks, and that accuracy alone is not an adequate justification for operational use. This motivates careful documentation of labels, assumptions, intended use, and auditability alongside conventional performance reporting.</w:t>
      </w:r>
      <w:r>
        <w:rPr>
          <w:rFonts w:hint="eastAsia"/>
          <w:vertAlign w:val="superscript"/>
        </w:rPr>
        <w:t xml:space="preserve"> [1</w:t>
      </w:r>
      <w:r>
        <w:rPr>
          <w:vertAlign w:val="superscript"/>
        </w:rPr>
        <w:t>7</w:t>
      </w:r>
      <w:r>
        <w:rPr>
          <w:rFonts w:hint="eastAsia"/>
          <w:vertAlign w:val="superscript"/>
        </w:rPr>
        <w:t>]</w:t>
      </w:r>
    </w:p>
    <w:p w14:paraId="3BBCFA83" w14:textId="77777777" w:rsidR="00CB6A19" w:rsidRDefault="00000000">
      <w:pPr>
        <w:pStyle w:val="FirstParagraph"/>
      </w:pPr>
      <w:r>
        <w:rPr>
          <w:rFonts w:asciiTheme="majorHAnsi" w:hAnsiTheme="majorHAnsi" w:cstheme="majorBidi"/>
          <w:b/>
          <w:bCs/>
          <w:color w:val="000000" w:themeColor="text1"/>
        </w:rPr>
        <w:t>References</w:t>
      </w:r>
      <w:r>
        <w:rPr>
          <w:b/>
          <w:bCs/>
          <w:color w:val="000000" w:themeColor="text1"/>
        </w:rPr>
        <w:t xml:space="preserve"> </w:t>
      </w:r>
    </w:p>
    <w:p w14:paraId="5BE33FF1" w14:textId="77777777" w:rsidR="00CB6A19" w:rsidRDefault="00000000">
      <w:pPr>
        <w:pStyle w:val="FirstParagraph"/>
        <w:kinsoku w:val="0"/>
        <w:overflowPunct w:val="0"/>
        <w:spacing w:before="0" w:after="0"/>
      </w:pPr>
      <w:r>
        <w:t xml:space="preserve">[1] W. L. Perry et al., Predictive Policing: The Role of Crime Forecasting in Law Enforcement Operations, RR-233. RAND Corp., 2013. </w:t>
      </w:r>
      <w:r>
        <w:br/>
        <w:t xml:space="preserve">[2] Police Executive Research Forum, </w:t>
      </w:r>
      <w:proofErr w:type="spellStart"/>
      <w:r>
        <w:t>Compstat</w:t>
      </w:r>
      <w:proofErr w:type="spellEnd"/>
      <w:r>
        <w:t>: Its Origins, Evolution, and Future in Law Enforcement Agencies. Bureau of Justice Assistance, 2013.</w:t>
      </w:r>
      <w:r>
        <w:br/>
        <w:t xml:space="preserve">[3] G. O. Mohler et al., “Self-Exciting Point Process Modeling of Crime,” J. Amer. Stat. Assoc., vol. 106, no. 493, pp. 100–108, 2011, </w:t>
      </w:r>
      <w:proofErr w:type="spellStart"/>
      <w:r>
        <w:t>doi</w:t>
      </w:r>
      <w:proofErr w:type="spellEnd"/>
      <w:r>
        <w:t>: 10.1198/</w:t>
      </w:r>
      <w:proofErr w:type="gramStart"/>
      <w:r>
        <w:t>jasa.2011.ap</w:t>
      </w:r>
      <w:proofErr w:type="gramEnd"/>
      <w:r>
        <w:t xml:space="preserve">09546. </w:t>
      </w:r>
      <w:r>
        <w:br/>
        <w:t xml:space="preserve">[4] J. M. Caplan, L. W. Kennedy, and J. Miller, “Risk Terrain Modeling: Brokering Criminological Theory and GIS Methods for Crime Forecasting,” Justice Quarterly, vol. 28, no. 2, pp. 360–381, 2011, </w:t>
      </w:r>
      <w:proofErr w:type="spellStart"/>
      <w:r>
        <w:t>doi</w:t>
      </w:r>
      <w:proofErr w:type="spellEnd"/>
      <w:r>
        <w:t xml:space="preserve">: 10.1080/07418825.2010.486037. </w:t>
      </w:r>
      <w:r>
        <w:br/>
        <w:t xml:space="preserve">[5] K. Lum and W. Isaac, “To Predict and </w:t>
      </w:r>
      <w:proofErr w:type="gramStart"/>
      <w:r>
        <w:t>Serve?,</w:t>
      </w:r>
      <w:proofErr w:type="gramEnd"/>
      <w:r>
        <w:t xml:space="preserve">” Significance, vol. 13, no. 5, pp. 14–19, 2016, </w:t>
      </w:r>
      <w:proofErr w:type="spellStart"/>
      <w:r>
        <w:t>doi</w:t>
      </w:r>
      <w:proofErr w:type="spellEnd"/>
      <w:r>
        <w:t>: 10.1111/j.1740-9713.2016.</w:t>
      </w:r>
      <w:proofErr w:type="gramStart"/>
      <w:r>
        <w:t>00960.x.</w:t>
      </w:r>
      <w:proofErr w:type="gramEnd"/>
      <w:r>
        <w:t xml:space="preserve"> </w:t>
      </w:r>
      <w:r>
        <w:br/>
        <w:t xml:space="preserve">[6] D. Ensign et al., “Runaway Feedback Loops in Predictive Policing,” in Proc. FAT* (PMLR), vol. 81, pp. 160–171, 2018. </w:t>
      </w:r>
      <w:r>
        <w:br/>
        <w:t xml:space="preserve">[7] R. Richardson, J. M. Schultz, and K. Crawford, “Dirty Data, Bad Predictions: How Civil Rights Violations Impact Police Data, Predictive Policing Systems, and Justice,” NYU Law Review Online, vol. 94, pp. 192–233, 2019. </w:t>
      </w:r>
      <w:r>
        <w:br/>
      </w:r>
      <w:r>
        <w:lastRenderedPageBreak/>
        <w:t>[8] J. S. Hollywood et al., Real-Time Crime Centers in Chicago: Evaluation of the Chicago Police Department’s Strategic Decision Support Centers, RR-3242. RAND Corp., 2019.</w:t>
      </w:r>
      <w:bookmarkStart w:id="11" w:name="citations"/>
      <w:bookmarkEnd w:id="1"/>
      <w:bookmarkEnd w:id="2"/>
      <w:bookmarkEnd w:id="10"/>
      <w:bookmarkEnd w:id="11"/>
    </w:p>
    <w:p w14:paraId="3818DDEA" w14:textId="77777777" w:rsidR="00CB6A19" w:rsidRDefault="00000000">
      <w:pPr>
        <w:pStyle w:val="FirstParagraph"/>
        <w:numPr>
          <w:ilvl w:val="0"/>
          <w:numId w:val="1"/>
        </w:numPr>
        <w:kinsoku w:val="0"/>
        <w:overflowPunct w:val="0"/>
        <w:spacing w:before="0" w:after="0"/>
      </w:pPr>
      <w:r>
        <w:t xml:space="preserve">O. </w:t>
      </w:r>
      <w:proofErr w:type="spellStart"/>
      <w:r>
        <w:t>Kounadi</w:t>
      </w:r>
      <w:proofErr w:type="spellEnd"/>
      <w:r>
        <w:t xml:space="preserve">, A. Ristea, A. Araujo Jr., and M. Leitner, “A systematic review on spatial crime forecasting,” Crime Science, vol. 9, 2020. </w:t>
      </w:r>
      <w:r>
        <w:tab/>
      </w:r>
    </w:p>
    <w:p w14:paraId="2D0619EC" w14:textId="77777777" w:rsidR="00CB6A19" w:rsidRDefault="00000000">
      <w:pPr>
        <w:pStyle w:val="FirstParagraph"/>
        <w:numPr>
          <w:ilvl w:val="0"/>
          <w:numId w:val="1"/>
        </w:numPr>
        <w:kinsoku w:val="0"/>
        <w:overflowPunct w:val="0"/>
        <w:spacing w:before="0" w:after="0"/>
      </w:pPr>
      <w:r>
        <w:t xml:space="preserve">F. </w:t>
      </w:r>
      <w:proofErr w:type="spellStart"/>
      <w:r>
        <w:t>Dakalbab</w:t>
      </w:r>
      <w:proofErr w:type="spellEnd"/>
      <w:r>
        <w:t xml:space="preserve"> et al., “Artificial intelligence &amp; crime prediction: A systematic literature review,” Social Sciences &amp; Humanities Open, vol. 6, 2022.</w:t>
      </w:r>
      <w:r>
        <w:tab/>
      </w:r>
    </w:p>
    <w:p w14:paraId="5E1D4A40" w14:textId="77777777" w:rsidR="00CB6A19" w:rsidRDefault="00000000">
      <w:pPr>
        <w:pStyle w:val="FirstParagraph"/>
        <w:numPr>
          <w:ilvl w:val="0"/>
          <w:numId w:val="1"/>
        </w:numPr>
        <w:kinsoku w:val="0"/>
        <w:overflowPunct w:val="0"/>
        <w:spacing w:before="0" w:after="0"/>
      </w:pPr>
      <w:r>
        <w:t xml:space="preserve">S. Chainey, L. Tompson, and S. Uhlig, “The Utility of Hotspot Mapping for Predicting Spatial Patterns of Crime,” Security Journal, vol. 21, pp. 4–28, 2008. </w:t>
      </w:r>
      <w:r>
        <w:tab/>
      </w:r>
    </w:p>
    <w:p w14:paraId="24B65916" w14:textId="77777777" w:rsidR="00CB6A19" w:rsidRDefault="00000000">
      <w:pPr>
        <w:pStyle w:val="FirstParagraph"/>
        <w:numPr>
          <w:ilvl w:val="0"/>
          <w:numId w:val="1"/>
        </w:numPr>
        <w:kinsoku w:val="0"/>
        <w:overflowPunct w:val="0"/>
        <w:spacing w:before="0" w:after="0"/>
      </w:pPr>
      <w:r>
        <w:t>T. C. Hart and P. A. Zandbergen, Effects of Data Quality on Predictive Hotspot Mapping, NIJ Final Technical Report (NCJ 239861), 2012.</w:t>
      </w:r>
      <w:r>
        <w:tab/>
      </w:r>
    </w:p>
    <w:p w14:paraId="028460AF" w14:textId="77777777" w:rsidR="00CB6A19" w:rsidRDefault="00000000">
      <w:pPr>
        <w:pStyle w:val="FirstParagraph"/>
        <w:numPr>
          <w:ilvl w:val="0"/>
          <w:numId w:val="1"/>
        </w:numPr>
        <w:kinsoku w:val="0"/>
        <w:overflowPunct w:val="0"/>
        <w:spacing w:before="0" w:after="0"/>
      </w:pPr>
      <w:r>
        <w:t xml:space="preserve">G. </w:t>
      </w:r>
      <w:proofErr w:type="spellStart"/>
      <w:r>
        <w:t>Drawve</w:t>
      </w:r>
      <w:proofErr w:type="spellEnd"/>
      <w:r>
        <w:t xml:space="preserve"> and A. </w:t>
      </w:r>
      <w:proofErr w:type="spellStart"/>
      <w:r>
        <w:t>Wooditch</w:t>
      </w:r>
      <w:proofErr w:type="spellEnd"/>
      <w:r>
        <w:t xml:space="preserve">, “A research </w:t>
      </w:r>
      <w:proofErr w:type="gramStart"/>
      <w:r>
        <w:t>note</w:t>
      </w:r>
      <w:proofErr w:type="gramEnd"/>
      <w:r>
        <w:t xml:space="preserve"> on the methodological and theoretical considerations for assessing crime forecasting accuracy with the predictive accuracy index,” Journal of Criminal Justice, vol. 64, 2019. </w:t>
      </w:r>
      <w:r>
        <w:tab/>
      </w:r>
    </w:p>
    <w:p w14:paraId="2B7DDC30" w14:textId="77777777" w:rsidR="00CB6A19" w:rsidRDefault="00000000">
      <w:pPr>
        <w:pStyle w:val="FirstParagraph"/>
        <w:numPr>
          <w:ilvl w:val="0"/>
          <w:numId w:val="1"/>
        </w:numPr>
        <w:kinsoku w:val="0"/>
        <w:overflowPunct w:val="0"/>
        <w:spacing w:before="0" w:after="0"/>
      </w:pPr>
      <w:r>
        <w:t>K. J. Bowers and S. D. Johnson, “Who commits near repeats? A test of the boost explanation,” Western Criminology Review, vol. 5, no. 3, 2004.</w:t>
      </w:r>
      <w:r>
        <w:tab/>
      </w:r>
    </w:p>
    <w:p w14:paraId="1674E347" w14:textId="77777777" w:rsidR="00CB6A19" w:rsidRDefault="00000000">
      <w:pPr>
        <w:pStyle w:val="FirstParagraph"/>
        <w:numPr>
          <w:ilvl w:val="0"/>
          <w:numId w:val="1"/>
        </w:numPr>
        <w:kinsoku w:val="0"/>
        <w:overflowPunct w:val="0"/>
        <w:spacing w:before="0" w:after="0"/>
      </w:pPr>
      <w:r>
        <w:t xml:space="preserve">E. L. Piza and J. G. Carter, “Predicting Initiator and Near Repeat Events in Spatiotemporal Crime Patterns: An Analysis of Residential Burglary and Motor Vehicle Theft,” Justice Quarterly, vol. 35, no. 5, 2018. </w:t>
      </w:r>
      <w:r>
        <w:tab/>
      </w:r>
    </w:p>
    <w:p w14:paraId="1D3FCA00" w14:textId="77777777" w:rsidR="00CB6A19" w:rsidRDefault="00000000">
      <w:pPr>
        <w:pStyle w:val="FirstParagraph"/>
        <w:numPr>
          <w:ilvl w:val="0"/>
          <w:numId w:val="1"/>
        </w:numPr>
        <w:kinsoku w:val="0"/>
        <w:overflowPunct w:val="0"/>
        <w:spacing w:before="0" w:after="0"/>
      </w:pPr>
      <w:r>
        <w:t xml:space="preserve">M. S. Gerber, “Predicting crime using Twitter and kernel density estimation,” Decision Support Systems, vol. 61, pp. 115–125, 2014. </w:t>
      </w:r>
      <w:proofErr w:type="spellStart"/>
      <w:r>
        <w:t>doi</w:t>
      </w:r>
      <w:proofErr w:type="spellEnd"/>
      <w:r>
        <w:t>: 10.1016/j.dss.2014.02.003.</w:t>
      </w:r>
    </w:p>
    <w:p w14:paraId="3335261C" w14:textId="77777777" w:rsidR="00CB6A19" w:rsidRDefault="00000000">
      <w:pPr>
        <w:pStyle w:val="FirstParagraph"/>
        <w:numPr>
          <w:ilvl w:val="0"/>
          <w:numId w:val="1"/>
        </w:numPr>
        <w:kinsoku w:val="0"/>
        <w:overflowPunct w:val="0"/>
        <w:spacing w:before="0" w:after="0"/>
      </w:pPr>
      <w:r>
        <w:t>D. Robinson and L. Koepke, Stuck in a Pattern: Early Evidence on “Predictive Policing” and Civil Rights, Upturn, 2016.</w:t>
      </w:r>
    </w:p>
    <w:sectPr w:rsidR="00CB6A19">
      <w:footnotePr>
        <w:numRestart w:val="eachSect"/>
      </w:footnotePr>
      <w:pgSz w:w="12242" w:h="20163"/>
      <w:pgMar w:top="851" w:right="1021" w:bottom="851" w:left="10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C17FF" w14:textId="77777777" w:rsidR="00A83A72" w:rsidRDefault="00A83A72">
      <w:pPr>
        <w:spacing w:after="0"/>
      </w:pPr>
      <w:r>
        <w:separator/>
      </w:r>
    </w:p>
  </w:endnote>
  <w:endnote w:type="continuationSeparator" w:id="0">
    <w:p w14:paraId="10162184" w14:textId="77777777" w:rsidR="00A83A72" w:rsidRDefault="00A83A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Helvetica Neue"/>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default"/>
    <w:sig w:usb0="00000000" w:usb1="00000000"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8DE9" w14:textId="77777777" w:rsidR="00A83A72" w:rsidRDefault="00A83A72">
      <w:pPr>
        <w:spacing w:after="0"/>
      </w:pPr>
      <w:r>
        <w:separator/>
      </w:r>
    </w:p>
  </w:footnote>
  <w:footnote w:type="continuationSeparator" w:id="0">
    <w:p w14:paraId="24820B61" w14:textId="77777777" w:rsidR="00A83A72" w:rsidRDefault="00A83A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97292A"/>
    <w:multiLevelType w:val="singleLevel"/>
    <w:tmpl w:val="DF97292A"/>
    <w:lvl w:ilvl="0">
      <w:start w:val="9"/>
      <w:numFmt w:val="decimal"/>
      <w:suff w:val="space"/>
      <w:lvlText w:val="[%1]"/>
      <w:lvlJc w:val="left"/>
    </w:lvl>
  </w:abstractNum>
  <w:num w:numId="1" w16cid:durableId="176745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173"/>
    <w:rsid w:val="00010661"/>
    <w:rsid w:val="00143ACF"/>
    <w:rsid w:val="00162935"/>
    <w:rsid w:val="002D5585"/>
    <w:rsid w:val="0039492E"/>
    <w:rsid w:val="004A7810"/>
    <w:rsid w:val="005E46D9"/>
    <w:rsid w:val="006C7173"/>
    <w:rsid w:val="00A83A72"/>
    <w:rsid w:val="00A87978"/>
    <w:rsid w:val="00CB6A19"/>
    <w:rsid w:val="00E83D9D"/>
    <w:rsid w:val="57FFF164"/>
    <w:rsid w:val="9FFECE18"/>
    <w:rsid w:val="BFFFB3A7"/>
    <w:rsid w:val="C4BF1106"/>
    <w:rsid w:val="ED7F5BF7"/>
    <w:rsid w:val="FEAD0FCF"/>
    <w:rsid w:val="FED9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F189A"/>
  <w15:docId w15:val="{89486AC5-66A3-409D-9D82-54F1E923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asciiTheme="minorHAnsi" w:eastAsiaTheme="minorEastAsia" w:hAnsiTheme="minorHAnsi" w:cstheme="minorBidi"/>
      <w:sz w:val="24"/>
      <w:szCs w:val="24"/>
    </w:rPr>
  </w:style>
  <w:style w:type="paragraph" w:styleId="a8">
    <w:name w:val="Subtitle"/>
    <w:basedOn w:val="a9"/>
    <w:next w:val="a0"/>
    <w:link w:val="aa"/>
    <w:uiPriority w:val="11"/>
    <w:qFormat/>
    <w:rPr>
      <w:spacing w:val="15"/>
      <w:sz w:val="28"/>
      <w:szCs w:val="28"/>
    </w:rPr>
  </w:style>
  <w:style w:type="paragraph" w:styleId="a9">
    <w:name w:val="Title"/>
    <w:basedOn w:val="a"/>
    <w:next w:val="a0"/>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c">
    <w:name w:val="footnote text"/>
    <w:basedOn w:val="a"/>
    <w:uiPriority w:val="9"/>
    <w:unhideWhenUsed/>
    <w:qFormat/>
  </w:style>
  <w:style w:type="paragraph" w:styleId="ad">
    <w:name w:val="Normal (Web)"/>
    <w:basedOn w:val="a"/>
    <w:pPr>
      <w:spacing w:beforeAutospacing="1" w:after="0" w:afterAutospacing="1"/>
    </w:pPr>
    <w:rPr>
      <w:rFonts w:cs="Times New Roman"/>
    </w:rPr>
  </w:style>
  <w:style w:type="table" w:styleId="ae">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rPr>
      <w:b/>
    </w:rPr>
  </w:style>
  <w:style w:type="character" w:styleId="af0">
    <w:name w:val="FollowedHyperlink"/>
    <w:basedOn w:val="a1"/>
    <w:rPr>
      <w:color w:val="96607D" w:themeColor="followedHyperlink"/>
      <w:u w:val="single"/>
    </w:rPr>
  </w:style>
  <w:style w:type="character" w:styleId="af1">
    <w:name w:val="Emphasis"/>
    <w:basedOn w:val="a1"/>
    <w:rPr>
      <w:i/>
    </w:rPr>
  </w:style>
  <w:style w:type="character" w:styleId="af2">
    <w:name w:val="Hyperlink"/>
    <w:basedOn w:val="a5"/>
    <w:rPr>
      <w:color w:val="156082" w:themeColor="accent1"/>
    </w:rPr>
  </w:style>
  <w:style w:type="character" w:customStyle="1" w:styleId="a5">
    <w:name w:val="题注 字符"/>
    <w:basedOn w:val="a1"/>
    <w:link w:val="a4"/>
  </w:style>
  <w:style w:type="character" w:styleId="af3">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9"/>
    <w:uiPriority w:val="10"/>
    <w:rPr>
      <w:rFonts w:asciiTheme="majorHAnsi" w:eastAsiaTheme="majorEastAsia" w:hAnsiTheme="majorHAnsi" w:cstheme="majorBidi"/>
      <w:spacing w:val="-10"/>
      <w:kern w:val="28"/>
      <w:sz w:val="56"/>
      <w:szCs w:val="56"/>
    </w:rPr>
  </w:style>
  <w:style w:type="character" w:customStyle="1" w:styleId="aa">
    <w:name w:val="副标题 字符"/>
    <w:basedOn w:val="a1"/>
    <w:link w:val="a8"/>
    <w:uiPriority w:val="11"/>
    <w:rPr>
      <w:rFonts w:eastAsiaTheme="majorEastAsia" w:cstheme="majorBidi"/>
      <w:color w:val="595959" w:themeColor="text1" w:themeTint="A6"/>
      <w:spacing w:val="15"/>
      <w:sz w:val="28"/>
      <w:szCs w:val="28"/>
    </w:rPr>
  </w:style>
  <w:style w:type="paragraph" w:customStyle="1" w:styleId="Author">
    <w:name w:val="Author"/>
    <w:next w:val="a0"/>
    <w:qFormat/>
    <w:pPr>
      <w:keepNext/>
      <w:keepLines/>
      <w:spacing w:after="200"/>
      <w:jc w:val="center"/>
    </w:pPr>
    <w:rPr>
      <w:rFonts w:asciiTheme="minorHAnsi" w:eastAsiaTheme="minorEastAsia" w:hAnsiTheme="minorHAnsi" w:cstheme="minorBidi"/>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62626" w:themeColor="text1" w:themeTint="D9"/>
    </w:rPr>
  </w:style>
  <w:style w:type="character" w:customStyle="1" w:styleId="90">
    <w:name w:val="标题 9 字符"/>
    <w:basedOn w:val="a1"/>
    <w:link w:val="9"/>
    <w:uiPriority w:val="9"/>
    <w:semiHidden/>
    <w:rPr>
      <w:rFonts w:eastAsiaTheme="majorEastAsia" w:cstheme="majorBidi"/>
      <w:color w:val="262626" w:themeColor="text1" w:themeTint="D9"/>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1900</Words>
  <Characters>12181</Characters>
  <Application>Microsoft Office Word</Application>
  <DocSecurity>0</DocSecurity>
  <Lines>217</Lines>
  <Paragraphs>87</Paragraphs>
  <ScaleCrop>false</ScaleCrop>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Chengyu</dc:creator>
  <cp:lastModifiedBy>Sun Haowen</cp:lastModifiedBy>
  <cp:revision>2</cp:revision>
  <dcterms:created xsi:type="dcterms:W3CDTF">2026-02-15T03:25:00Z</dcterms:created>
  <dcterms:modified xsi:type="dcterms:W3CDTF">2026-02-15T03:25:00Z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2052-12.1.23135.23135</vt:lpwstr>
  </property>
  <property fmtid="{D5CDD505-2E9C-101B-9397-08002B2CF9AE}" pid="4" name="ICV">
    <vt:lpwstr>32D70A563F4FD0504D2B9169F777A5E1_43</vt:lpwstr>
  </property>
</Properties>
</file>