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市場需求文件（MRD）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台灣繁體 GEO 市場：證據、競爭結構與可驗證的灘頭市場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市場結論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台灣 GEO 市場不是空白市場，而是需求教育仍在形成、供給已開始出現的早期市場。本地已有 SaaS、免費工具、顧問與 SEO 代理服務。GEOCheck 的機會不是宣稱第一，而是服務目前被大型提案型產品與高單價顧問忽略的『建站工作室 × 小商家 × 可驗收修正』流程。</w:t>
      </w: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已移除的主張  </w:t>
      </w:r>
      <w:r>
        <w:rPr>
          <w:rFonts w:ascii="Calibri" w:hAnsi="Calibri" w:eastAsia="Microsoft JhengHei"/>
          <w:color w:val="1F2933"/>
        </w:rPr>
        <w:t>『台灣 GEO 年增 35%』『94% 數位行銷團隊增加預算』『唯一直接競品為零』目前沒有足夠台灣一手證據，不納入市場規模或投資判斷。</w:t>
      </w:r>
    </w:p>
    <w:p>
      <w:pPr>
        <w:pStyle w:val="Heading1"/>
        <w:keepNext/>
        <w:keepLines/>
      </w:pPr>
      <w:r>
        <w:t>2. 市場驅動因素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00"/>
        <w:gridCol w:w="48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驅動因素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證據等級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對 GEOCheck 的含義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 AI 模式已提供台灣繁體中文體驗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商家將更常遇到 AI 直接回答與推薦的體驗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台灣 2024 年中小企業超過 171.5 萬家，占企業逾 98%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潛在母體大，但不是全部都有可付費 GEO 需求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本地 GEO SaaS、工具與代理已公開提供服務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B／競品公開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需求存在訊號，但也證明不能使用『唯一』定位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爬蟲控制與搜尋索引爬蟲並非同一件事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A／官方技術文件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產品須拆分 bot，不可用單一 robots 規則做錯誤結論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小商家需要可交付、可執行的修正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H／待驗證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需以訪談與付費試點驗證，而非由產品團隊自行推定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市場規模：由上而下只作背景，由下而上做決策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TAM 不應直接用 171.5 萬家中小企業乘以月費，因為許多企業沒有獨立網站、沒有可識別的 GEO 痛點或不具付費意願。初期採渠道導向的 bottom-up 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80"/>
        <w:gridCol w:w="288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4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目前結論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TAM 背景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台灣中小企業母體 × 有公開網站 × 有 AI 搜尋需求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缺乏後兩項可靠比例，不宣稱精確金額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SAM（12–18 月）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可觸達建站工作室 × 每家活躍客戶 × 可交付服務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先以 30 家工作室、每家年 5–20 案作範圍假設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SOM（6 個月）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3–5 家渠道 × 每月 1–2 個付費案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18–60 單／半年；以產能與毛利為上限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模型使用方式  </w:t>
      </w:r>
      <w:r>
        <w:rPr>
          <w:rFonts w:ascii="Calibri" w:hAnsi="Calibri" w:eastAsia="Microsoft JhengHei"/>
          <w:color w:val="1F2933"/>
        </w:rPr>
        <w:t>每完成一輪訪談或試點，更新工作室數、案量、成交率與客單。沒有證據的比例保留為區間，不製造單點精準感。</w:t>
      </w:r>
    </w:p>
    <w:p>
      <w:pPr>
        <w:pStyle w:val="Heading1"/>
        <w:keepNext/>
        <w:keepLines/>
      </w:pPr>
      <w:r>
        <w:t>4. 優先細分市場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50"/>
        <w:gridCol w:w="1650"/>
        <w:gridCol w:w="1650"/>
        <w:gridCol w:w="201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細分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痛點強度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可觸達性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交付風險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優先級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2–10 人建站／設計工作室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P0 渠道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有官網的居家／生活服務商家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由渠道觸達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P0 案例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B2B 專業服務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跨境電商／獨立站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中高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 驗證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法律／醫療／金融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可能高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高法遵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P2 僅技術診斷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大型品牌／代理商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高整合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Later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5. 競爭地圖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以下資料來自公開網站，僅代表業者自述的定位與功能，不代表第三方驗證的成效。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200"/>
        <w:gridCol w:w="26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類型／例子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公開定位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優勢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GEOCheck 可切入缺口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本地 GEO SaaS：geomkt.app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實測數據、提案自動化、品牌與代理需求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完整提案敘事、企業化包裝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更小商家、修正驗收、渠道輕量流程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本地免費／自助工具：Welly GEO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網站健檢與 GEO 教育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流量與品牌信任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可解釋規則、技術證據、交付模板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AI 能見度平台：GeoWeb 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跨平台監測與可視化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監測心智、平台覆蓋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低成本技術修正與一人服務 SOP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傳統 SEO／GEO 代理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策略、內容、顧問與代操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服務深度、人員經驗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固定範圍、快速驗收、可轉售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海外平台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跨引擎監測、企業工作流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產品成熟、資料規模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繁中語境、台灣渠道與小額服務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客戶洞察假設與訪談題綱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40"/>
        <w:gridCol w:w="262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假設</w:t>
            </w:r>
          </w:p>
        </w:tc>
        <w:tc>
          <w:tcPr>
            <w:tcW w:type="dxa" w:w="4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要問的問題</w:t>
            </w:r>
          </w:p>
        </w:tc>
        <w:tc>
          <w:tcPr>
            <w:tcW w:type="dxa" w:w="2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通過標準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工作室會被客戶追問 AI／流量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最近 3 個交站案，有幾次被問到？如何處理？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家中 ≥ 6 家有近 90 天實例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工作室願意轉售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若有固定範圍與報告，會如何報價／擔心什麼？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3 家願帶入真實客戶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商家願為修正付費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目前因何感到損失？誰能修改網站？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 個報價中 ≥ 8 個付費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監控有續費價值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修正後最想持續看到什麼？多久一次？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家願付月費或簽意向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採購旅程與訊息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3460"/>
        <w:gridCol w:w="240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客戶問題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內容／產品回應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衡量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發現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為何找不到我？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免費健檢＋白話證據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有效健檢完成率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理解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問題是真的嗎？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來源、原始訊號、未知標記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報告解鎖率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評估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你能修什麼？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固定範圍、範例、SLA、無成效保證聲明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報價接受率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購買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誰改、多久、多少錢？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一次性修正包＋付款與交付條款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成交週期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有改好嗎？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修前修後差異與未解限制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驗收通過率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續用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還需要監控嗎？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月度變更與異常提醒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試用轉訂閱／流失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8. 研究與實驗計畫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3100"/>
        <w:gridCol w:w="2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實驗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樣本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成功門檻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決策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問題訪談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家建站工作室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50% 有近期真實痛點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否則更換渠道 ICP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假門測試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網站 CTA 兩種方案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完整報告留資 ≥ 10%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低於門檻調整報告價值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價格測試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NT$4,900／6,900／8,900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成交與毛利綜合最佳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形成固定試點價格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 20 個案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中位工時 ≤ 2.5 小時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否則縮範圍或自動化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監控意願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已交付客戶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家願付費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通過才建訂閱系統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市場風險與訊號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GEO 可能被包回 SEO 基礎服務：需證明獨立購買理由，不以新名詞製造焦慮。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AI 平台輸出高度波動：報告必須記錄時間、提問、地區與限制，避免單次結果冒充趨勢。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競品快速增加：品牌護城河應來自渠道流程、案例證據與修正資料，不是功能清單。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小商家付費能力有限：優先讓建站工作室整合進既有案價，而非完全依賴 D2C 獲客。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內容與品牌主張可能涉及監管：高風險產業先做技術診斷，內容需客戶專業審核。</w:t>
      </w:r>
    </w:p>
    <w:p>
      <w:pPr>
        <w:pStyle w:val="Heading1"/>
        <w:keepNext/>
        <w:keepLines/>
      </w:pPr>
      <w:r>
        <w:t>10. MRD 決策輸出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選定灘頭市場  </w:t>
      </w:r>
      <w:r>
        <w:rPr>
          <w:rFonts w:ascii="Calibri" w:hAnsi="Calibri" w:eastAsia="Microsoft JhengHei"/>
          <w:color w:val="1F2933"/>
        </w:rPr>
        <w:t>2–10 人建站工作室是第一購買與分銷節點；其服務中的本地商家是最初案例來源。產品訊息以『可交付、可驗收、繁中』為主，不以『唯一』為主。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OpenAI：Publishers and developers FAQ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4. 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Anthropic：網站爬蟲與封鎖方式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5. 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Search Central：Google crawlers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6. 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Search Central：JavaScript SEO basics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7. 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8. 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geomkt.app：台灣 GEO SaaS 業者公開頁面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9. </w:t>
      </w:r>
      <w:hyperlink r:id="rId19">
        <w:r>
          <w:rPr>
            <w:rFonts w:ascii="Calibri" w:hAnsi="Calibri" w:eastAsia="Microsoft JhengHei"/>
            <w:color w:val="2E74B5"/>
            <w:u w:val="single"/>
          </w:rPr>
          <w:t>Welly GEO 工具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10. </w:t>
      </w:r>
      <w:hyperlink r:id="rId20">
        <w:r>
          <w:rPr>
            <w:rFonts w:ascii="Calibri" w:hAnsi="Calibri" w:eastAsia="Microsoft JhengHei"/>
            <w:color w:val="2E74B5"/>
            <w:u w:val="single"/>
          </w:rPr>
          <w:t>GeoWeb AI Search Visibility Platform</w:t>
        </w:r>
      </w:hyperlink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2026-07-14 實作狀態更新（MRD）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2026-07-14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市場訊息：小商家需要可理解、可執行的網站修正，而非無法驗證的排名承諾。產品競爭點是繁體在地化診斷、可追溯證據與低成本修正流程；跨引擎 AI 引用監測仍屬後續驗證能力。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p>
      <w:r>
        <w:br w:type="page"/>
      </w:r>
    </w:p>
    <w:p>
      <w:pPr>
        <w:pStyle w:val="Title"/>
        <w:spacing w:before="0" w:after="100" w:line="240" w:lineRule="auto"/>
      </w:pPr>
      <w:r>
        <w:rPr>
          <w:sz w:val="36"/>
        </w:rPr>
        <w:t>GeoCheck MRD V3 更新版</w:t>
      </w:r>
    </w:p>
    <w:p>
      <w:pPr>
        <w:spacing w:before="0" w:after="40" w:line="240" w:lineRule="auto"/>
      </w:pPr>
      <w:r>
        <w:rPr>
          <w:sz w:val="18"/>
        </w:rPr>
        <w:t>更新日期：2026-07-16</w:t>
      </w:r>
    </w:p>
    <w:p>
      <w:pPr>
        <w:pStyle w:val="Heading1"/>
        <w:spacing w:before="100" w:after="40" w:line="240" w:lineRule="auto"/>
      </w:pPr>
      <w:r>
        <w:rPr>
          <w:sz w:val="26"/>
        </w:rPr>
        <w:t>V3 量測架構</w:t>
      </w:r>
    </w:p>
    <w:p>
      <w:pPr>
        <w:spacing w:before="0" w:after="40" w:line="240" w:lineRule="auto"/>
      </w:pPr>
      <w:r>
        <w:rPr>
          <w:sz w:val="19"/>
        </w:rPr>
        <w:t>GEO 主分數由 Perplexity 搜尋觀測 50%、內容可引用性 30%、必要技術存取 20% 組成。</w:t>
      </w:r>
    </w:p>
    <w:p>
      <w:pPr>
        <w:spacing w:before="0" w:after="40" w:line="240" w:lineRule="auto"/>
      </w:pPr>
      <w:r>
        <w:rPr>
          <w:sz w:val="19"/>
        </w:rPr>
        <w:t>每個網站固定使用 3 次 Perplexity：1 次精確實體驗證與 2 次非品牌探索。</w:t>
      </w:r>
    </w:p>
    <w:p>
      <w:pPr>
        <w:spacing w:before="0" w:after="40" w:line="240" w:lineRule="auto"/>
      </w:pPr>
      <w:r>
        <w:rPr>
          <w:sz w:val="19"/>
        </w:rPr>
        <w:t>Gemini Flash-Lite 每站使用 1 次，只標準化基本資訊、產業、網站結構與內容特徵；不參與計分。</w:t>
      </w:r>
    </w:p>
    <w:p>
      <w:pPr>
        <w:spacing w:before="0" w:after="40" w:line="240" w:lineRule="auto"/>
      </w:pPr>
      <w:r>
        <w:rPr>
          <w:sz w:val="19"/>
        </w:rPr>
        <w:t>Perplexity 證據不足時 GEO 分數為未知，不以站內準備度或 Gemini 判讀補分。</w:t>
      </w:r>
    </w:p>
    <w:p>
      <w:pPr>
        <w:pStyle w:val="Heading1"/>
        <w:spacing w:before="100" w:after="40" w:line="240" w:lineRule="auto"/>
      </w:pPr>
      <w:r>
        <w:rPr>
          <w:sz w:val="26"/>
        </w:rPr>
        <w:t>白皮書研究模式</w:t>
      </w:r>
    </w:p>
    <w:p>
      <w:pPr>
        <w:spacing w:before="0" w:after="40" w:line="240" w:lineRule="auto"/>
      </w:pPr>
      <w:r>
        <w:rPr>
          <w:sz w:val="19"/>
        </w:rPr>
        <w:t>研究 Skill 與正式網站共同匯入 mock-api/lib/geo-measurement.js，避免權重與查詢邏輯漂移。</w:t>
      </w:r>
    </w:p>
    <w:p>
      <w:pPr>
        <w:spacing w:before="0" w:after="40" w:line="240" w:lineRule="auto"/>
      </w:pPr>
      <w:r>
        <w:rPr>
          <w:sz w:val="19"/>
        </w:rPr>
        <w:t>批次執行要求 Perplexity 與 Gemini 兩個獨立硬上限；超過任一上限時，第一個付費呼叫前即停止。</w:t>
      </w:r>
    </w:p>
    <w:p>
      <w:pPr>
        <w:spacing w:before="0" w:after="40" w:line="240" w:lineRule="auto"/>
      </w:pPr>
      <w:r>
        <w:rPr>
          <w:sz w:val="19"/>
        </w:rPr>
        <w:t>輸出包含 JSONL、CSV、統計摘要、方法檔、查詢觀測、來源網址、模型、失敗狀態與資料集 SHA-256。</w:t>
      </w:r>
    </w:p>
    <w:p>
      <w:pPr>
        <w:spacing w:before="0" w:after="40" w:line="240" w:lineRule="auto"/>
      </w:pPr>
      <w:r>
        <w:rPr>
          <w:sz w:val="19"/>
        </w:rPr>
        <w:t>Gemini 研究 schema 不含建議、行動、改寫、改善或預期成效欄位。</w:t>
      </w:r>
    </w:p>
    <w:p>
      <w:pPr>
        <w:pStyle w:val="Heading1"/>
        <w:spacing w:before="100" w:after="40" w:line="240" w:lineRule="auto"/>
      </w:pPr>
      <w:r>
        <w:rPr>
          <w:sz w:val="26"/>
        </w:rPr>
        <w:t>最終驗證與限制</w:t>
      </w:r>
    </w:p>
    <w:p>
      <w:pPr>
        <w:spacing w:before="0" w:after="40" w:line="240" w:lineRule="auto"/>
      </w:pPr>
      <w:r>
        <w:rPr>
          <w:sz w:val="19"/>
        </w:rPr>
        <w:t>2026-07-16 實測：壽司郎 GEO 65、站內準備度 63；Hunterest GEO 41、站內準備度 87。</w:t>
      </w:r>
    </w:p>
    <w:p>
      <w:pPr>
        <w:spacing w:before="0" w:after="40" w:line="240" w:lineRule="auto"/>
      </w:pPr>
      <w:r>
        <w:rPr>
          <w:sz w:val="19"/>
        </w:rPr>
        <w:t>結果證明站內結構完整不再自動換成高 GEO 分；外部實體、品牌提及與官網引用證據才是主差異。</w:t>
      </w:r>
    </w:p>
    <w:p>
      <w:pPr>
        <w:spacing w:before="0" w:after="40" w:line="240" w:lineRule="auto"/>
      </w:pPr>
      <w:r>
        <w:rPr>
          <w:sz w:val="19"/>
        </w:rPr>
        <w:t>量測只代表指定 Perplexity 模型、固定查詢集與收集期間，不代表所有 AI 引擎的普遍排名。</w:t>
      </w:r>
    </w:p>
    <w:p>
      <w:pPr>
        <w:spacing w:before="0" w:after="40" w:line="240" w:lineRule="auto"/>
      </w:pPr>
      <w:r>
        <w:rPr>
          <w:sz w:val="19"/>
        </w:rPr>
        <w:t>最終資料集 SHA-256：83d50e17a6962342d5e1baf7c44ea3e97fb40bda0c4ff2ba7703b8304010cd6c。</w:t>
      </w:r>
    </w:p>
    <w:p>
      <w:pPr>
        <w:pStyle w:val="Heading1"/>
        <w:spacing w:before="100" w:after="40" w:line="240" w:lineRule="auto"/>
      </w:pPr>
      <w:r>
        <w:rPr>
          <w:sz w:val="26"/>
        </w:rPr>
        <w:t>市場研究口徑</w:t>
      </w:r>
    </w:p>
    <w:p>
      <w:pPr>
        <w:spacing w:before="0" w:after="40" w:line="240" w:lineRule="auto"/>
      </w:pPr>
      <w:r>
        <w:rPr>
          <w:sz w:val="19"/>
        </w:rPr>
        <w:t>白皮書可報告品牌提及率、官網引用率、實體對齊率與 GEO 分布。</w:t>
      </w:r>
    </w:p>
    <w:p>
      <w:pPr>
        <w:spacing w:before="0" w:after="40" w:line="240" w:lineRule="auto"/>
      </w:pPr>
      <w:r>
        <w:rPr>
          <w:sz w:val="19"/>
        </w:rPr>
        <w:t>不得將 Perplexity 結果外推為 ChatGPT、Gemini、Claude 或所有 AI 搜尋引擎的共同結果。</w:t>
      </w:r>
    </w:p>
    <w:p>
      <w:pPr>
        <w:spacing w:before="0" w:after="40" w:line="240" w:lineRule="auto"/>
      </w:pPr>
      <w:r>
        <w:rPr>
          <w:sz w:val="19"/>
        </w:rPr>
        <w:t>每份發布內容需揭露樣本數、模型、查詢集、收集期間、失敗率與資料集雜湊。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GEOCheck｜MRD｜1.0（決策版）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help.openai.com/en/articles/12627856-publishers-and-developers-faq" TargetMode="External"/><Relationship Id="rId14" Type="http://schemas.openxmlformats.org/officeDocument/2006/relationships/hyperlink" Target="https://support.claude.com/en/articles/8896518-does-anthropic-crawl-data-from-the-web-and-how-can-site-owners-block-the-crawler" TargetMode="External"/><Relationship Id="rId15" Type="http://schemas.openxmlformats.org/officeDocument/2006/relationships/hyperlink" Target="https://developers.google.com/crawling/docs/crawlers-fetchers/google-common-crawlers" TargetMode="External"/><Relationship Id="rId16" Type="http://schemas.openxmlformats.org/officeDocument/2006/relationships/hyperlink" Target="https://developers.google.com/search/docs/crawling-indexing/javascript/javascript-seo-basics" TargetMode="External"/><Relationship Id="rId17" Type="http://schemas.openxmlformats.org/officeDocument/2006/relationships/hyperlink" Target="https://law.moj.gov.tw/LawClass/LawAll.aspx?pcode=I0050021" TargetMode="External"/><Relationship Id="rId18" Type="http://schemas.openxmlformats.org/officeDocument/2006/relationships/hyperlink" Target="https://geomkt.app/" TargetMode="External"/><Relationship Id="rId19" Type="http://schemas.openxmlformats.org/officeDocument/2006/relationships/hyperlink" Target="https://geo.welly.tw/" TargetMode="External"/><Relationship Id="rId20" Type="http://schemas.openxmlformats.org/officeDocument/2006/relationships/hyperlink" Target="https://geoweb.tw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GeoCheck MRD V3 更新版</dc:title>
  <dc:subject>GeoCheck V2.1 current implementation and deployment status</dc:subject>
  <dc:creator>python-docx</dc:creator>
  <cp:keywords/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2026-07-16T13:18:58Z</dcterms:modified>
  <cp:category/>
</cp:coreProperties>
</file>