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產品需求文件（PRD）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從規則型健檢到可成交、可驗收的 GEOCheck 業務閉環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產品摘要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是繁體中文網站的 AI 搜尋可讀性健檢與修正工作台。V1 的產品重點不是宣稱能預測 ChatGPT 或 Gemini 的引用，而是把可觀測的公開網站訊號轉為可解釋分數、證據與修正步驟，並建立留資與付費服務閉環。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產品原則  </w:t>
      </w:r>
      <w:r>
        <w:rPr>
          <w:rFonts w:ascii="Calibri" w:hAnsi="Calibri" w:eastAsia="Microsoft JhengHei"/>
          <w:color w:val="1F2933"/>
        </w:rPr>
        <w:t>未知就標未知；爬蟲政策與搜尋能見度分開；不因迎合 AI 破壞 Google SEO；每個建議附可驗收證據；不輸出無依據的流量提升百分比。</w:t>
      </w:r>
    </w:p>
    <w:p>
      <w:pPr>
        <w:pStyle w:val="Heading1"/>
        <w:keepNext/>
        <w:keepLines/>
      </w:pPr>
      <w:r>
        <w:t>2. 現況盤點（截至 2026-07-13）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40"/>
        <w:gridCol w:w="2640"/>
        <w:gridCol w:w="248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現況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限制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PRD 決策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五類規則評分 V2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已實作 25 條／100 分與分數上限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需持續版本化與案例校準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保留，作為免費核心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真實網站抓取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HTTP＋可選瀏覽器渲染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SSRF／私網防護尚未完整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安全阻擋列為 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AI 定位分析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Agnes 失敗時可規則降級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外部模型成本與波動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僅留資／付費層啟用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搜尋情境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Brave 可選整合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不等同 ChatGPT／Gemini 真實引用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清楚標註資料來源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報告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記憶體暫存＋HTML／Markdown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重啟即失效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試點前導入持久化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Email 表單＋JSONL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告知、來源、興趣與保存期不足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本輪補齊基礎同意欄位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尚無 7 天業務快取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重複成本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本輪實作記憶體 TTL；後續 Redis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付款／帳號／訂閱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未實作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不宜過早建置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20 個付費試點後再決策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3. 目標與非目標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本版目標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非目標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讓使用者 90 秒內得到可解釋的免費健檢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保證 AI 推薦、排名或流量提升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降低重複網域檢測成本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一次建置完整會員與付款系統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取得合規、可歸因的高意圖留資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蒐集不必要的個人資料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讓建站工作室能把修正清單交給客戶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取代顧問或網站開發者的專業判斷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以修前修後證據驗收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用單次生成式回答宣稱長期趨勢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使用者與核心流程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3220"/>
        <w:gridCol w:w="264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入口</w:t>
            </w:r>
          </w:p>
        </w:tc>
        <w:tc>
          <w:tcPr>
            <w:tcW w:type="dxa" w:w="32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主要任務</w:t>
            </w:r>
          </w:p>
        </w:tc>
        <w:tc>
          <w:tcPr>
            <w:tcW w:type="dxa" w:w="26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完成定義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商家老闆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知道最先改哪三件事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能把步驟轉交網站設計師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健檢／渠道連結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產出可交付證據並加購修正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客戶理解範圍並完成驗收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營運者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名單與報告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辨識高意圖、報價、追蹤工時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漏斗與毛利可計算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開發者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規則與測試</w:t>
            </w:r>
          </w:p>
        </w:tc>
        <w:tc>
          <w:tcPr>
            <w:tcW w:type="dxa" w:w="32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更新判斷而不破壞既有分數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版本、理由、邊界案例齊全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核心旅程：輸入網址 → 安全檢查 → 快取命中或執行抓取 → 規則評分 → 預覽報告 → 留資解鎖完整證據／預約 → 固定範圍報價 → 修正 → 重跑驗收。</w:t>
      </w:r>
    </w:p>
    <w:p>
      <w:pPr>
        <w:pStyle w:val="Heading1"/>
        <w:keepNext/>
        <w:keepLines/>
      </w:pPr>
      <w:r>
        <w:t>5. 權限與成本分層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100"/>
        <w:gridCol w:w="2160"/>
        <w:gridCol w:w="130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規則運算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LLM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搜尋／引擎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資料保存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匿名免費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完整技術規則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無；必要時僅本地降級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無真實引擎承諾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7 天快取、去識別日誌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完整證據與範本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單次輕量定位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可選 Brave 情境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依告知期間保存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付費修正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修前／修後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內容草稿，人工審核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限定測試集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專案期間＋驗收期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監控 Beta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定期差異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依事件觸發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可重現的固定查詢集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訂閱期間＋刪除政策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功能需求：Now（可立即執行）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050"/>
        <w:gridCol w:w="3420"/>
        <w:gridCol w:w="199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驗收條件</w:t>
            </w:r>
          </w:p>
        </w:tc>
        <w:tc>
          <w:tcPr>
            <w:tcW w:type="dxa" w:w="19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業務價值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同一正規化網域 7 天快取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回傳 hit、age、expiresAt；命中不呼叫模型／抓取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降低成本與等待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P0-02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快取不繞過濫用限制；可由環境變數調整 TTL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TTL=0 可停用；回應仍可追蹤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營運可控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留資必須有明確同意與目的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未勾同意回 400；保存 consentVersion、source、interest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降低個資風險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P0-04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首頁直接呈現試點服務範圍與價格區間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CTA 可送出 interest=pilot_fix_pack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讓流量可成交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P0-05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每次健檢記錄漏斗事件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audit_started／completed／cache_hit／lead_submitted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建立決策數據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P0-06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封鎖私網與不安全 URL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localhost、RFC1918、link-local、非 http(s) 拒絕</w:t>
            </w:r>
          </w:p>
        </w:tc>
        <w:tc>
          <w:tcPr>
            <w:tcW w:type="dxa" w:w="19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避免 SSRF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功能需求：Next（付費試點後）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900"/>
        <w:gridCol w:w="34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啟動門檻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報告與名單持久化資料庫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首批付費試點前；含備份與刪除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修前／修後差異報告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至少 5 個付費案確認驗收格式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llms.txt、Organization／Service Schema 草稿生成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人工審查 SOP 完成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渠道來源與共同品牌報告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家設計夥伴完成導案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P1-05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 5 網域檢測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單站成本與限流穩定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8. 功能需求：Later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必要前提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不提前做的理由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帳號與訂閱金流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家明確月費意願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避免為未驗證留存需求建基礎設施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跨引擎週期監控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合法、穩定、可重現的資料取得方式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單次結果波動且 API 成本不確定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行業專屬權重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每垂直至少 30–50 個標註案例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小樣本權重易製造假精準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AI 內容生成器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付費修正資料證明內容是瓶頸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先確保事實、審核與品牌風險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評分與建議規格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V2 維持 100 分制：抓取與存取 30、可發現性 15、語義理解 20、可讀性 20、可引用性 15。權重理由：先確保可抓取，再評估 AI 是否能理解與引用；社群分享標籤不是主要索引訊號，不應高權重。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100"/>
        <w:gridCol w:w="4910"/>
      </w:tblGrid>
      <w:tr>
        <w:trPr>
          <w:tblHeader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規則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產品行為</w:t>
            </w:r>
          </w:p>
        </w:tc>
        <w:tc>
          <w:tcPr>
            <w:tcW w:type="dxa" w:w="4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白話建議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首頁抓取失敗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請網站設計師先確認網站是否能從外部正常開啟。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noindex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網站目前掛著『不要收錄』牌子，請先移除再談曝光。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Googlebot 全站封鎖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35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把 Google 擋在門外，請修改後再重測。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文字少於 100 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總分上限 42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首頁幾乎沒有可讀文字，請補上服務、地區與聯絡方式。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特定 crawler 文件不足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標記未知，不給肯定結論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目前官方資料不足；請依官方文件與測試結果判斷。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需求／SLO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效能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快取命中 p95 &lt; 1 秒；新健檢目標 ≤ 90 秒，逾時提供可重試訊息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可用性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外部模型失敗時回傳規則報告，不把失敗偽裝成完整 AI 結論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URL allowlist、私網／metadata IP 阻擋、DNS 解析後再檢查、輸入長度與限流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隱私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遵循最小蒐集；告知蒐集者、目的、類別、期間／地區／對象／方式、權利與不提供影響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可觀測性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requestId、algorithmVersion、provider、latency、cache、錯誤階段；不記錄敏感內容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可解釋性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每項分數附輸入證據、規則版本與 50 字內權重理由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相容性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不建議 cloaking、不為 AI 犧牲可存取性與 Google SEO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資料駐留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8"/>
              </w:rPr>
              <w:t>『台灣伺服器』是營運選擇而非自動等同合規；跨境處理需在告知與供應商盤點中揭露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資料模型（MVP）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實體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必要欄位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保存／注意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AuditReport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id、normalizedUrl、algorithmVersion、scores、evidence、createdAt、cache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公開網站資料；設定 TTL 與刪除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id、email、site、interest、source、consentVersion、consentedAt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個資；限制存取、可查詢／刪除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FunnelEvent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event、timestamp、source、reportId、匿名 session／requestId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避免放 Email 與頁面全文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RuleVersion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version、ruleId、weight、reason、source、effectiveAt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不可覆寫歷史，確保報告可重現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12. 分析事件與漏斗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觸發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必要屬性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audit_started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驗證 URL 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source、normalizedHost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audit_cache_hit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7 天內命中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ageSeconds、algorithmVersion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audit_completed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報告成功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latencyMs、score、provider、cacheHit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report_viewed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開啟報告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reportId、source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lead_submitted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同意且表單成功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interest、source、reportId（不送 email 到分析工具）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pilot_quoted／won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人工更新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priceBand、channel、cycleDays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13. 驗收案例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100"/>
        <w:gridCol w:w="26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案例</w:t>
            </w:r>
          </w:p>
        </w:tc>
        <w:tc>
          <w:tcPr>
            <w:tcW w:type="dxa" w:w="4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預期行為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合理性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只有圖片的咖啡廳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低分並受文字量上限；指出替代文字、服務與地區文字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合理：可開啟不等於可理解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JavaScript SPA 民宿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比較原始與渲染後內容；有內容則不誤判空站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合理：反映不同爬蟲渲染能力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Disallow: /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辨識針對哪些 bot；Googlebot 阻擋觸發上限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合理：分開搜尋索引與模型訓練 bot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robots.txt 回 401／403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標記 unknown，不得視為 allowed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需修正的已知邊界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同網域 7 天內重跑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回傳快取且不呼叫外部模型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控制成本並縮短等待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14. 發布計畫與回滾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400"/>
        <w:gridCol w:w="3500"/>
        <w:gridCol w:w="1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範圍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通過條件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回滾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快取、同意欄位、事件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自動測試＋3 邊界案例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TTL=0、關閉新 CTA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設計夥伴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家工作室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無 P0 安全錯誤、名單可歸因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退回免費報告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公開 Beta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限量免費健檢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錯誤率 &lt; 5%、成本在預算內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限流／暫停 LLM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固定範圍服務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合約、退款、交付與隱私文字確認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停止接單、不影響既有驗收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15. 開放問題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哪些建站平台最常出現且最值得先做修正範本？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留資使用 Email、LINE 或兩者，哪個在渠道情境轉換最好？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付費客戶最願意為『修改』、『驗收』或『監控』哪一段付費？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外部搜尋／模型測試的合法穩定取得方式與每次成本是多少？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資料庫與 hosting 供應商的實際地區、DPA、備份與刪除能力為何？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OpenAI：Publishers and developers FAQ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4. </w:t>
      </w:r>
      <w:hyperlink r:id="rId14">
        <w:r>
          <w:rPr>
            <w:rFonts w:ascii="Calibri" w:hAnsi="Calibri" w:eastAsia="Microsoft JhengHei"/>
            <w:color w:val="2E74B5"/>
            <w:u w:val="single"/>
          </w:rPr>
          <w:t>Anthropic：網站爬蟲與封鎖方式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5. </w:t>
      </w:r>
      <w:hyperlink r:id="rId15">
        <w:r>
          <w:rPr>
            <w:rFonts w:ascii="Calibri" w:hAnsi="Calibri" w:eastAsia="Microsoft JhengHei"/>
            <w:color w:val="2E74B5"/>
            <w:u w:val="single"/>
          </w:rPr>
          <w:t>Google Search Central：Google crawlers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6. </w:t>
      </w:r>
      <w:hyperlink r:id="rId16">
        <w:r>
          <w:rPr>
            <w:rFonts w:ascii="Calibri" w:hAnsi="Calibri" w:eastAsia="Microsoft JhengHei"/>
            <w:color w:val="2E74B5"/>
            <w:u w:val="single"/>
          </w:rPr>
          <w:t>Google Search Central：JavaScript SEO basics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7. </w:t>
      </w:r>
      <w:hyperlink r:id="rId17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8. </w:t>
      </w:r>
      <w:hyperlink r:id="rId18">
        <w:r>
          <w:rPr>
            <w:rFonts w:ascii="Calibri" w:hAnsi="Calibri" w:eastAsia="Microsoft JhengHei"/>
            <w:color w:val="2E74B5"/>
            <w:u w:val="single"/>
          </w:rPr>
          <w:t>geomkt.app：台灣 GEO SaaS 業者公開頁面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9. </w:t>
      </w:r>
      <w:hyperlink r:id="rId19">
        <w:r>
          <w:rPr>
            <w:rFonts w:ascii="Calibri" w:hAnsi="Calibri" w:eastAsia="Microsoft JhengHei"/>
            <w:color w:val="2E74B5"/>
            <w:u w:val="single"/>
          </w:rPr>
          <w:t>Welly GEO 工具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10. </w:t>
      </w:r>
      <w:hyperlink r:id="rId20">
        <w:r>
          <w:rPr>
            <w:rFonts w:ascii="Calibri" w:hAnsi="Calibri" w:eastAsia="Microsoft JhengHei"/>
            <w:color w:val="2E74B5"/>
            <w:u w:val="single"/>
          </w:rPr>
          <w:t>GeoWeb AI Search Visibility Platform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GEOCheck｜PRD｜1.0（決策版）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help.openai.com/en/articles/12627856-publishers-and-developers-faq" TargetMode="External"/><Relationship Id="rId14" Type="http://schemas.openxmlformats.org/officeDocument/2006/relationships/hyperlink" Target="https://support.claude.com/en/articles/8896518-does-anthropic-crawl-data-from-the-web-and-how-can-site-owners-block-the-crawler" TargetMode="External"/><Relationship Id="rId15" Type="http://schemas.openxmlformats.org/officeDocument/2006/relationships/hyperlink" Target="https://developers.google.com/crawling/docs/crawlers-fetchers/google-common-crawlers" TargetMode="External"/><Relationship Id="rId16" Type="http://schemas.openxmlformats.org/officeDocument/2006/relationships/hyperlink" Target="https://developers.google.com/search/docs/crawling-indexing/javascript/javascript-seo-basics" TargetMode="External"/><Relationship Id="rId17" Type="http://schemas.openxmlformats.org/officeDocument/2006/relationships/hyperlink" Target="https://law.moj.gov.tw/LawClass/LawAll.aspx?pcode=I0050021" TargetMode="External"/><Relationship Id="rId18" Type="http://schemas.openxmlformats.org/officeDocument/2006/relationships/hyperlink" Target="https://geomkt.app/" TargetMode="External"/><Relationship Id="rId19" Type="http://schemas.openxmlformats.org/officeDocument/2006/relationships/hyperlink" Target="https://geo.welly.tw/" TargetMode="External"/><Relationship Id="rId20" Type="http://schemas.openxmlformats.org/officeDocument/2006/relationships/hyperlink" Target="https://geoweb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