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</w:pPr>
      <w:r>
        <w:rPr>
          <w:rFonts w:ascii="Calibri" w:hAnsi="Calibri" w:eastAsia="Microsoft JhengHei"/>
          <w:b/>
          <w:color w:val="2E74B5"/>
          <w:sz w:val="26"/>
        </w:rPr>
        <w:t>GEOCHECK</w:t>
      </w:r>
    </w:p>
    <w:p>
      <w:pPr>
        <w:spacing w:after="240"/>
      </w:pPr>
      <w:r>
        <w:rPr>
          <w:rFonts w:ascii="Calibri" w:hAnsi="Calibri" w:eastAsia="Microsoft JhengHei"/>
          <w:b/>
          <w:color w:val="0B2545"/>
          <w:sz w:val="54"/>
        </w:rPr>
        <w:t>商業需求文件（BRD）</w:t>
      </w:r>
    </w:p>
    <w:p>
      <w:pPr>
        <w:spacing w:after="560"/>
      </w:pPr>
      <w:r>
        <w:rPr>
          <w:rFonts w:ascii="Calibri" w:hAnsi="Calibri" w:eastAsia="Microsoft JhengHei"/>
          <w:color w:val="5E6B78"/>
          <w:sz w:val="28"/>
        </w:rPr>
        <w:t>一人創業的服務先行 GEO 產品：從可成交問題到可重複收入</w:t>
      </w:r>
    </w:p>
    <w:p>
      <w:pPr>
        <w:spacing w:before="140" w:after="180" w:line="264" w:lineRule="auto"/>
        <w:ind w:left="173" w:right="173"/>
        <w:shd w:fill="E8EEF5"/>
        <w:pBdr>
          <w:left w:val="single" w:sz="18" w:space="6" w:color="0B2545"/>
        </w:pBdr>
      </w:pPr>
      <w:r>
        <w:rPr>
          <w:rFonts w:ascii="Calibri" w:hAnsi="Calibri" w:eastAsia="Microsoft JhengHei"/>
          <w:b/>
          <w:color w:val="0B2545"/>
        </w:rPr>
        <w:t xml:space="preserve">文件定位  </w:t>
      </w:r>
      <w:r>
        <w:rPr>
          <w:rFonts w:ascii="Calibri" w:hAnsi="Calibri" w:eastAsia="Microsoft JhengHei"/>
          <w:color w:val="1F2933"/>
        </w:rPr>
        <w:t>供產品負責人、合作夥伴與開發者共同決策；所有數字均區分為已知事實、內部假設或待驗證目標。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欄位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內容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版本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1.0（決策版）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日期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2026 年 7 月 13 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產品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GEOCheck 台灣 AI 搜尋能見度健檢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營運模式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一人 OPC、服務先行、渠道驗證後再 SaaS 化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文件狀態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20"/>
              </w:rPr>
              <w:t>可執行基線；每月依證據更新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文件導讀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本文件刻意把『已證實』與『想像中的市場』分開。讀者可先看執行摘要與決策門檻，再依需要進入市場、產品或營運細節。</w:t>
      </w: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證據標記  </w:t>
      </w:r>
      <w:r>
        <w:rPr>
          <w:rFonts w:ascii="Calibri" w:hAnsi="Calibri" w:eastAsia="Microsoft JhengHei"/>
          <w:color w:val="1F2933"/>
        </w:rPr>
        <w:t>A＝官方或一手資料；B＝競品公開資料；C＝內部觀察；H＝待驗證假設。競品自述不視為獨立成效證據。</w:t>
      </w:r>
    </w:p>
    <w:p>
      <w:pPr>
        <w:pStyle w:val="Heading1"/>
        <w:keepNext/>
        <w:keepLines/>
      </w:pPr>
      <w:r>
        <w:t>1. 執行摘要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GEOCheck 不應以『台灣唯一 GEO 工具』競爭，而應以『適合建站工作室轉售、證據可追溯、對小商家說人話』建立窄而清楚的切入點。前 6 個月的任務不是衝 1,000 個免費網域，而是證明一條能獲利且可重複的漏斗：診斷 → 留資 → 付費修正 → 驗收 → 轉介紹。</w:t>
      </w:r>
    </w:p>
    <w:p>
      <w:pPr>
        <w:spacing w:before="140" w:after="180" w:line="264" w:lineRule="auto"/>
        <w:ind w:left="173" w:right="173"/>
        <w:shd w:fill="EAF5EF"/>
        <w:pBdr>
          <w:left w:val="single" w:sz="18" w:space="6" w:color="1F6B4F"/>
        </w:pBdr>
      </w:pPr>
      <w:r>
        <w:rPr>
          <w:rFonts w:ascii="Calibri" w:hAnsi="Calibri" w:eastAsia="Microsoft JhengHei"/>
          <w:b/>
          <w:color w:val="1F6B4F"/>
        </w:rPr>
        <w:t xml:space="preserve">核心決策  </w:t>
      </w:r>
      <w:r>
        <w:rPr>
          <w:rFonts w:ascii="Calibri" w:hAnsi="Calibri" w:eastAsia="Microsoft JhengHei"/>
          <w:color w:val="1F2933"/>
        </w:rPr>
        <w:t>先賣標準化修正服務，再把高頻、可自動化的交付內容產品化。未達 20 個付費試點前，不投入完整帳號、訂閱與跨引擎監控後台。</w:t>
      </w:r>
    </w:p>
    <w:p>
      <w:pPr>
        <w:pStyle w:val="Heading1"/>
        <w:keepNext/>
        <w:keepLines/>
      </w:pPr>
      <w:r>
        <w:t>2. 商業問題與客戶工作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060"/>
        <w:gridCol w:w="2100"/>
        <w:gridCol w:w="250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客群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真正要完成的工作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購買觸發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不購買原因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建站工作室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回答客戶『網站上線後，為何 AI 找不到』並增加後續收入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交站、續約或流量抱怨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怕交付不可控、報告像 AI 套版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本地服務商家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知道網站卡在哪，取得可交給網站商的修正清單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品牌被誤解、競品被推薦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不懂 GEO、看不到直接回報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跨境獨立站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檢查繁中內容與結構是否可被 AI 正確理解與引用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開拓華語市場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平台結果波動、預算優先給投放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icrosoft JhengHei"/>
          <w:i w:val="0"/>
        </w:rPr>
        <w:t>第一灘頭市場建議選擇 3 家建站工作室作為設計夥伴，再由其導入 10–20 個商家案例。法律、醫療與金融等高監管垂直先不承諾內容成效，只提供技術診斷。</w:t>
      </w:r>
    </w:p>
    <w:p>
      <w:pPr>
        <w:pStyle w:val="Heading1"/>
        <w:keepNext/>
        <w:keepLines/>
      </w:pPr>
      <w:r>
        <w:t>3. 價值主張與定位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元素</w:t>
            </w:r>
          </w:p>
        </w:tc>
        <w:tc>
          <w:tcPr>
            <w:tcW w:type="dxa" w:w="7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決策版敘述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產品定位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台灣繁體網站的 AI 搜尋可讀性健檢與修正工作台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核心承諾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指出可驗證的網站問題，附證據與交付步驟；不保證排名或流量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差異化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繁中在地語境、規則可解釋、建站工作室可轉交、修前修後可驗收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品牌身分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GEOCheck／GeoLab 獨立產品實驗室；不虛構團隊規模或資歷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不做什麼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9"/>
              </w:rPr>
              <w:t>不做全域行銷代理、不承諾 AI 平台引用、不替代 SEO 基礎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4. 收益模型與價格實驗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020"/>
        <w:gridCol w:w="1700"/>
        <w:gridCol w:w="3090"/>
      </w:tblGrid>
      <w:tr>
        <w:trPr>
          <w:tblHeader w:val="true"/>
        </w:trPr>
        <w:tc>
          <w:tcPr>
            <w:tcW w:type="dxa" w:w="1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層級</w:t>
            </w:r>
          </w:p>
        </w:tc>
        <w:tc>
          <w:tcPr>
            <w:tcW w:type="dxa" w:w="30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交付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建議價格</w:t>
            </w:r>
          </w:p>
        </w:tc>
        <w:tc>
          <w:tcPr>
            <w:tcW w:type="dxa" w:w="309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目的／門檻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免費健檢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首頁技術掃描、五類分數、3 項優先問題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建立信任；不需留資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完整報告解鎖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完整證據表、修正範本、報告下載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 Email＋明確同意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衡量高意圖名單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試點修正包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個首頁＋Schema／robots／sitemap 建議＋修後驗收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NT$4,900–8,900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個工作天；每月限量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渠道批次包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5 網站額度、共同品牌報告、月度檢討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先報價試點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完成 3 家設計夥伴後定價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監控訂閱 Beta</w:t>
            </w:r>
          </w:p>
        </w:tc>
        <w:tc>
          <w:tcPr>
            <w:tcW w:type="dxa" w:w="3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月度重跑、差異報告、異常提醒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NT$990–1,990／月</w:t>
            </w:r>
          </w:p>
        </w:tc>
        <w:tc>
          <w:tcPr>
            <w:tcW w:type="dxa" w:w="309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留存率與成本驗證後上線</w:t>
            </w:r>
          </w:p>
        </w:tc>
      </w:tr>
    </w:tbl>
    <w:p>
      <w:pPr>
        <w:spacing w:after="40"/>
      </w:pPr>
    </w:p>
    <w:p>
      <w:pPr>
        <w:spacing w:before="140" w:after="180" w:line="264" w:lineRule="auto"/>
        <w:ind w:left="173" w:right="173"/>
        <w:shd w:fill="FFF6D9"/>
        <w:pBdr>
          <w:left w:val="single" w:sz="18" w:space="6" w:color="7A5A00"/>
        </w:pBdr>
      </w:pPr>
      <w:r>
        <w:rPr>
          <w:rFonts w:ascii="Calibri" w:hAnsi="Calibri" w:eastAsia="Microsoft JhengHei"/>
          <w:b/>
          <w:color w:val="7A5A00"/>
        </w:rPr>
        <w:t xml:space="preserve">定價修正理由  </w:t>
      </w:r>
      <w:r>
        <w:rPr>
          <w:rFonts w:ascii="Calibri" w:hAnsi="Calibri" w:eastAsia="Microsoft JhengHei"/>
          <w:color w:val="1F2933"/>
        </w:rPr>
        <w:t>原 2,990 元含三頁重寫與 24 小時交付，未計入人工審稿、溝通與返工。新方案縮小範圍並保留 QA 毛利。</w:t>
      </w:r>
    </w:p>
    <w:p>
      <w:pPr>
        <w:pStyle w:val="Heading1"/>
        <w:keepNext/>
        <w:keepLines/>
      </w:pPr>
      <w:r>
        <w:t>5. 單位經濟模型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每個付費訂單都必須記錄實際工時與外部 API 成本。以下是驗證模型，不是已達成財務數據。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3300"/>
        <w:gridCol w:w="2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試點目標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計算方式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停損線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每單貢獻毛利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售價－金流－API－可變人工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連續 5 單 &lt; 50%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人工交付時間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≤ 2.5 小時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診斷、修改、QA、溝通總和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&gt; 4 小時則縮範圍／漲價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免費→留資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有效留資／有效健檢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5% 檢討價值呈現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留資→付費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10%–25%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付費試點／有效留資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8% 訪談拒絕原因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渠道回購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天內 ≥ 40%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第二筆訂單工作室／首購工作室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低於 20% 暫緩白標開發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6. 六個月目標與階段閘門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400"/>
        <w:gridCol w:w="3480"/>
        <w:gridCol w:w="298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時間</w:t>
            </w:r>
          </w:p>
        </w:tc>
        <w:tc>
          <w:tcPr>
            <w:tcW w:type="dxa" w:w="3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必要成果</w:t>
            </w:r>
          </w:p>
        </w:tc>
        <w:tc>
          <w:tcPr>
            <w:tcW w:type="dxa" w:w="29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Go／No-Go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問題驗證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1–4 週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 12 家工作室、完成 3 家設計夥伴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6 家承認問題且 ≥ 3 家願意導入案例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付費驗證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2–3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20 個試點、追蹤工時／成本／拒絕原因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8 個付費，貢獻毛利 ≥ 50%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4–6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3–5 家穩定渠道、30 個累積付費站點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60 天渠道複購 ≥ 40%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SaaS 判定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第 6 月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監控需求、留存意願與技術成本證據</w:t>
            </w:r>
          </w:p>
        </w:tc>
        <w:tc>
          <w:tcPr>
            <w:tcW w:type="dxa" w:w="2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≥ 15 家願付月費才建完整訂閱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7. 核心 KPI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北極星指標：每月『完成修正並通過修後驗收』的網站數，而非單純健檢次數。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獲客：有效健檢、報告解鎖率、渠道來源占比、每個合格名單成本。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成交：試點成交率、平均客單、成交週期、拒絕原因。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交付：每單工時、準時率、修正採用率、修前修後技術分差。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留存：渠道複購、監控試用轉付費、月度流失、轉介紹率。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可信度：未知訊號比例、錯誤判定率、客訴／退款率。</w:t>
      </w:r>
    </w:p>
    <w:p>
      <w:pPr>
        <w:pStyle w:val="Heading1"/>
        <w:keepNext/>
        <w:keepLines/>
      </w:pPr>
      <w:r>
        <w:t>8. 營運流程與責任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500"/>
        <w:gridCol w:w="3060"/>
        <w:gridCol w:w="330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步驟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SLA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自動化</w:t>
            </w:r>
          </w:p>
        </w:tc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人工責任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健檢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90 秒目標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抓取、規則評分、快取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例外審查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留資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即時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同意紀錄、來源標記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回覆高意圖名單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資格確認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需求問卷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確認範圍、風險與報價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 工作天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模板、差異報告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內容核對與最終 QA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驗收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交付後 7 天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重跑檢測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說明未知與未解問題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9. 風險、控制與誠信邊界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700"/>
        <w:gridCol w:w="4080"/>
        <w:gridCol w:w="1930"/>
      </w:tblGrid>
      <w:tr>
        <w:trPr>
          <w:tblHeader w:val="true"/>
        </w:trPr>
        <w:tc>
          <w:tcPr>
            <w:tcW w:type="dxa" w:w="16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風險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影響</w:t>
            </w:r>
          </w:p>
        </w:tc>
        <w:tc>
          <w:tcPr>
            <w:tcW w:type="dxa" w:w="4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控制</w:t>
            </w:r>
          </w:p>
        </w:tc>
        <w:tc>
          <w:tcPr>
            <w:tcW w:type="dxa" w:w="19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責任人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平台規則變動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評分過時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版本化規則、官方來源、季度覆核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產品負責人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錯誤成效承諾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退款與信任損害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只承諾交付與技術驗收，不承諾排名／流量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銷售／交付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個資與名單外洩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法遵與聲譽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最小蒐集、告知、保存期限、刪除流程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資料負責人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SSRF／濫用掃描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基礎設施風險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封鎖私網、DNS 重綁防護、限流與日誌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開發者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一人產能不足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逾期與品質下降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限量接單、固定範圍、3 日 SLA、候補名單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品牌誤導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合作信任損害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如實揭露為獨立產品實驗室，不虛構團隊</w:t>
            </w:r>
          </w:p>
        </w:tc>
        <w:tc>
          <w:tcPr>
            <w:tcW w:type="dxa" w:w="1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6"/>
              </w:rPr>
              <w:t>營運者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10. 30／60／90 天行動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2900"/>
        <w:gridCol w:w="2260"/>
      </w:tblGrid>
      <w:tr>
        <w:trPr>
          <w:tblHeader w:val="true"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期間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業務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產品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/>
                <w:color w:val="0B2545"/>
                <w:sz w:val="18"/>
              </w:rPr>
              <w:t>證據產出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0–30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12 次訪談、3 家設計夥伴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快取、留資同意、可追蹤 CTA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訪談紀錄、漏斗基線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31–60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首批 8–12 個付費試點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修前修後報告、範本生成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工時、毛利、採用率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61–90 天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渠道複購與價格 A/B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批次匯出雛形、來源面板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DD6E0"/>
              <w:left w:val="single" w:sz="6" w:color="CDD6E0"/>
              <w:bottom w:val="single" w:sz="6" w:color="CDD6E0"/>
              <w:right w:val="single" w:sz="6" w:color="CDD6E0"/>
              <w:insideH w:val="single" w:sz="6" w:color="CDD6E0"/>
              <w:insideV w:val="single" w:sz="6" w:color="CDD6E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color w:val="1F2933"/>
                <w:sz w:val="17"/>
              </w:rPr>
              <w:t>案例研究、渠道回購率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11. 明確停止條件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12 家工作室訪談後，若少於 3 家願意導入真實客戶案例，停止白標／渠道功能開發。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完成 20 個報價後，若付費率低於 10%，先重做定位與交付，不擴大流量。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連續 5 個付費案貢獻毛利低於 50%，停止 24 小時／低價承諾，縮小範圍或提高價格。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Microsoft JhengHei"/>
        </w:rPr>
        <w:t>無法合法、穩定且可重現地量測跨引擎引用時，不販售『即時 AI 能見度』訂閱。</w:t>
      </w:r>
    </w:p>
    <w:p>
      <w:pPr>
        <w:pStyle w:val="Heading1"/>
        <w:keepNext/>
        <w:keepLines/>
      </w:pPr>
      <w:r>
        <w:t>參考資料與查核說明</w:t>
      </w:r>
    </w:p>
    <w:p>
      <w:pPr>
        <w:spacing w:after="120"/>
      </w:pPr>
      <w:r>
        <w:rPr>
          <w:rFonts w:ascii="Calibri" w:hAnsi="Calibri" w:eastAsia="Microsoft JhengHei"/>
          <w:i w:val="0"/>
        </w:rPr>
        <w:t>資料查核截止日為 2026 年 7 月 13 日。下列連結用於支持市場、法規與技術邊界；產品成效仍須由 GEOCheck 自有試點資料驗證。</w:t>
      </w:r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1. </w:t>
      </w:r>
      <w:hyperlink r:id="rId11">
        <w:r>
          <w:rPr>
            <w:rFonts w:ascii="Calibri" w:hAnsi="Calibri" w:eastAsia="Microsoft JhengHei"/>
            <w:color w:val="2E74B5"/>
            <w:u w:val="single"/>
          </w:rPr>
          <w:t>經濟部中小及新創企業署：《2025 年中小企業白皮書》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2. 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Google 台灣：AI 模式以繁體中文在台灣推出</w:t>
        </w:r>
      </w:hyperlink>
    </w:p>
    <w:p>
      <w:pPr>
        <w:spacing w:after="120"/>
      </w:pPr>
      <w:r>
        <w:rPr>
          <w:rFonts w:ascii="Calibri" w:hAnsi="Calibri" w:eastAsia="Microsoft JhengHei"/>
          <w:b/>
          <w:color w:val="0B2545"/>
        </w:rPr>
        <w:t xml:space="preserve">3. 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全國法規資料庫：《個人資料保護法》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5E6B78"/>
        <w:sz w:val="18"/>
      </w:rPr>
      <w:t xml:space="preserve">第 </w:t>
    </w:r>
    <w:fldSimple w:instr="PAGE"/>
    <w:r>
      <w:rPr>
        <w:rFonts w:ascii="Calibri" w:hAnsi="Calibri" w:eastAsia="Microsoft JhengHei"/>
        <w:color w:val="5E6B78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JhengHei"/>
        <w:color w:val="5E6B78"/>
        <w:sz w:val="17"/>
      </w:rPr>
      <w:t>GEOCheck｜BRD｜1.0（決策版）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Jheng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icrosoft JhengHei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nsolas" w:hAnsi="Consolas" w:eastAsia="Microsoft JhengHei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me.gov.tw/files/13847/EB0374F3-F6B7-48DB-8B4A-614F60A095F4" TargetMode="External"/><Relationship Id="rId12" Type="http://schemas.openxmlformats.org/officeDocument/2006/relationships/hyperlink" Target="https://blog.google/intl/zh-tw/products/explore-get-answers/ai-mode-zhtw/" TargetMode="External"/><Relationship Id="rId13" Type="http://schemas.openxmlformats.org/officeDocument/2006/relationships/hyperlink" Target="https://law.moj.gov.tw/LawClass/LawAll.aspx?pcode=I00500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