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市場需求文件（MRD）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台灣繁體 GEO 市場：證據、競爭結構與可驗證的灘頭市場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市場結論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台灣 GEO 市場不是空白市場，而是需求教育仍在形成、供給已開始出現的早期市場。本地已有 SaaS、免費工具、顧問與 SEO 代理服務。GEOCheck 的機會不是宣稱第一，而是服務目前被大型提案型產品與高單價顧問忽略的『建站工作室 × 小商家 × 可驗收修正』流程。</w:t>
      </w: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已移除的主張  </w:t>
      </w:r>
      <w:r>
        <w:rPr>
          <w:rFonts w:ascii="Calibri" w:hAnsi="Calibri" w:eastAsia="Microsoft JhengHei"/>
          <w:color w:val="1F2933"/>
        </w:rPr>
        <w:t>『台灣 GEO 年增 35%』『94% 數位行銷團隊增加預算』『唯一直接競品為零』目前沒有足夠台灣一手證據，不納入市場規模或投資判斷。</w:t>
      </w:r>
    </w:p>
    <w:p>
      <w:pPr>
        <w:pStyle w:val="Heading1"/>
        <w:keepNext/>
        <w:keepLines/>
      </w:pPr>
      <w:r>
        <w:t>2. 市場驅動因素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48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驅動因素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證據等級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對 GEOCheck 的含義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 AI 模式已提供台灣繁體中文體驗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商家將更常遇到 AI 直接回答與推薦的體驗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台灣 2024 年中小企業超過 171.5 萬家，占企業逾 98%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潛在母體大，但不是全部都有可付費 GEO 需求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本地 GEO SaaS、工具與代理已公開提供服務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B／競品公開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需求存在訊號，但也證明不能使用『唯一』定位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爬蟲控制與搜尋索引爬蟲並非同一件事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A／官方技術文件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產品須拆分 bot，不可用單一 robots 規則做錯誤結論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小商家需要可交付、可執行的修正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H／待驗證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需以訪談與付費試點驗證，而非由產品團隊自行推定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市場規模：由上而下只作背景，由下而上做決策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TAM 不應直接用 171.5 萬家中小企業乘以月費，因為許多企業沒有獨立網站、沒有可識別的 GEO 痛點或不具付費意願。初期採渠道導向的 bottom-up 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80"/>
        <w:gridCol w:w="288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4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目前結論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TAM 背景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台灣中小企業母體 × 有公開網站 × 有 AI 搜尋需求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缺乏後兩項可靠比例，不宣稱精確金額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SAM（12–18 月）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可觸達建站工作室 × 每家活躍客戶 × 可交付服務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先以 30 家工作室、每家年 5–20 案作範圍假設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SOM（6 個月）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3–5 家渠道 × 每月 1–2 個付費案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18–60 單／半年；以產能與毛利為上限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模型使用方式  </w:t>
      </w:r>
      <w:r>
        <w:rPr>
          <w:rFonts w:ascii="Calibri" w:hAnsi="Calibri" w:eastAsia="Microsoft JhengHei"/>
          <w:color w:val="1F2933"/>
        </w:rPr>
        <w:t>每完成一輪訪談或試點，更新工作室數、案量、成交率與客單。沒有證據的比例保留為區間，不製造單點精準感。</w:t>
      </w:r>
    </w:p>
    <w:p>
      <w:pPr>
        <w:pStyle w:val="Heading1"/>
        <w:keepNext/>
        <w:keepLines/>
      </w:pPr>
      <w:r>
        <w:t>4. 優先細分市場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50"/>
        <w:gridCol w:w="1650"/>
        <w:gridCol w:w="1650"/>
        <w:gridCol w:w="201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細分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痛點強度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可觸達性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交付風險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優先級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2–10 人建站／設計工作室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P0 渠道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有官網的居家／生活服務商家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由渠道觸達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P0 案例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B2B 專業服務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跨境電商／獨立站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中高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 驗證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法律／醫療／金融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可能高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高法遵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P2 僅技術診斷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大型品牌／代理商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高整合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Later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5. 競爭地圖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以下資料來自公開網站，僅代表業者自述的定位與功能，不代表第三方驗證的成效。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200"/>
        <w:gridCol w:w="26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類型／例子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公開定位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優勢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GEOCheck 可切入缺口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本地 GEO SaaS：geomkt.app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實測數據、提案自動化、品牌與代理需求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完整提案敘事、企業化包裝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更小商家、修正驗收、渠道輕量流程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本地免費／自助工具：Welly GEO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網站健檢與 GEO 教育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流量與品牌信任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可解釋規則、技術證據、交付模板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AI 能見度平台：GeoWeb 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跨平台監測與可視化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監測心智、平台覆蓋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低成本技術修正與一人服務 SOP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傳統 SEO／GEO 代理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策略、內容、顧問與代操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服務深度、人員經驗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固定範圍、快速驗收、可轉售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海外平台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跨引擎監測、企業工作流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產品成熟、資料規模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繁中語境、台灣渠道與小額服務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客戶洞察假設與訪談題綱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40"/>
        <w:gridCol w:w="262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假設</w:t>
            </w:r>
          </w:p>
        </w:tc>
        <w:tc>
          <w:tcPr>
            <w:tcW w:type="dxa" w:w="4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要問的問題</w:t>
            </w:r>
          </w:p>
        </w:tc>
        <w:tc>
          <w:tcPr>
            <w:tcW w:type="dxa" w:w="2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通過標準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工作室會被客戶追問 AI／流量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最近 3 個交站案，有幾次被問到？如何處理？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家中 ≥ 6 家有近 90 天實例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工作室願意轉售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若有固定範圍與報告，會如何報價／擔心什麼？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3 家願帶入真實客戶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商家願為修正付費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目前因何感到損失？誰能修改網站？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 個報價中 ≥ 8 個付費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監控有續費價值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修正後最想持續看到什麼？多久一次？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家願付月費或簽意向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採購旅程與訊息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3460"/>
        <w:gridCol w:w="240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客戶問題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內容／產品回應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衡量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發現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為何找不到我？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免費健檢＋白話證據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有效健檢完成率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理解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問題是真的嗎？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來源、原始訊號、未知標記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報告解鎖率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評估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你能修什麼？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固定範圍、範例、SLA、無成效保證聲明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報價接受率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購買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誰改、多久、多少錢？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一次性修正包＋付款與交付條款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成交週期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有改好嗎？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修前修後差異與未解限制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驗收通過率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續用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還需要監控嗎？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月度變更與異常提醒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試用轉訂閱／流失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8. 研究與實驗計畫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3100"/>
        <w:gridCol w:w="2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實驗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樣本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成功門檻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決策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問題訪談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家建站工作室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50% 有近期真實痛點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否則更換渠道 ICP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假門測試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網站 CTA 兩種方案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完整報告留資 ≥ 10%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低於門檻調整報告價值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價格測試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NT$4,900／6,900／8,900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成交與毛利綜合最佳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形成固定試點價格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交付測試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 20 個案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中位工時 ≤ 2.5 小時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否則縮範圍或自動化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監控意願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已交付客戶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家願付費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通過才建訂閱系統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市場風險與訊號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GEO 可能被包回 SEO 基礎服務：需證明獨立購買理由，不以新名詞製造焦慮。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AI 平台輸出高度波動：報告必須記錄時間、提問、地區與限制，避免單次結果冒充趨勢。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競品快速增加：品牌護城河應來自渠道流程、案例證據與修正資料，不是功能清單。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小商家付費能力有限：優先讓建站工作室整合進既有案價，而非完全依賴 D2C 獲客。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內容與品牌主張可能涉及監管：高風險產業先做技術診斷，內容需客戶專業審核。</w:t>
      </w:r>
    </w:p>
    <w:p>
      <w:pPr>
        <w:pStyle w:val="Heading1"/>
        <w:keepNext/>
        <w:keepLines/>
      </w:pPr>
      <w:r>
        <w:t>10. MRD 決策輸出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選定灘頭市場  </w:t>
      </w:r>
      <w:r>
        <w:rPr>
          <w:rFonts w:ascii="Calibri" w:hAnsi="Calibri" w:eastAsia="Microsoft JhengHei"/>
          <w:color w:val="1F2933"/>
        </w:rPr>
        <w:t>2–10 人建站工作室是第一購買與分銷節點；其服務中的本地商家是最初案例來源。產品訊息以『可交付、可驗收、繁中』為主，不以『唯一』為主。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OpenAI：Publishers and developers FAQ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4. 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Anthropic：網站爬蟲與封鎖方式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5. 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Search Central：Google crawlers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6. 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Search Central：JavaScript SEO basics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7. 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8. 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geomkt.app：台灣 GEO SaaS 業者公開頁面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9. </w:t>
      </w:r>
      <w:hyperlink r:id="rId19">
        <w:r>
          <w:rPr>
            <w:rFonts w:ascii="Calibri" w:hAnsi="Calibri" w:eastAsia="Microsoft JhengHei"/>
            <w:color w:val="2E74B5"/>
            <w:u w:val="single"/>
          </w:rPr>
          <w:t>Welly GEO 工具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10. </w:t>
      </w:r>
      <w:hyperlink r:id="rId20">
        <w:r>
          <w:rPr>
            <w:rFonts w:ascii="Calibri" w:hAnsi="Calibri" w:eastAsia="Microsoft JhengHei"/>
            <w:color w:val="2E74B5"/>
            <w:u w:val="single"/>
          </w:rPr>
          <w:t>GeoWeb AI Search Visibility Platform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GEOCheck｜MRD｜1.0（決策版）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help.openai.com/en/articles/12627856-publishers-and-developers-faq" TargetMode="External"/><Relationship Id="rId14" Type="http://schemas.openxmlformats.org/officeDocument/2006/relationships/hyperlink" Target="https://support.claude.com/en/articles/8896518-does-anthropic-crawl-data-from-the-web-and-how-can-site-owners-block-the-crawler" TargetMode="External"/><Relationship Id="rId15" Type="http://schemas.openxmlformats.org/officeDocument/2006/relationships/hyperlink" Target="https://developers.google.com/crawling/docs/crawlers-fetchers/google-common-crawlers" TargetMode="External"/><Relationship Id="rId16" Type="http://schemas.openxmlformats.org/officeDocument/2006/relationships/hyperlink" Target="https://developers.google.com/search/docs/crawling-indexing/javascript/javascript-seo-basics" TargetMode="External"/><Relationship Id="rId17" Type="http://schemas.openxmlformats.org/officeDocument/2006/relationships/hyperlink" Target="https://law.moj.gov.tw/LawClass/LawAll.aspx?pcode=I0050021" TargetMode="External"/><Relationship Id="rId18" Type="http://schemas.openxmlformats.org/officeDocument/2006/relationships/hyperlink" Target="https://geomkt.app/" TargetMode="External"/><Relationship Id="rId19" Type="http://schemas.openxmlformats.org/officeDocument/2006/relationships/hyperlink" Target="https://geo.welly.tw/" TargetMode="External"/><Relationship Id="rId20" Type="http://schemas.openxmlformats.org/officeDocument/2006/relationships/hyperlink" Target="https://geoweb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